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33434659" w:rsidR="00ED44EB" w:rsidRDefault="000E5C5C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14A6B1" wp14:editId="4886508B">
            <wp:simplePos x="0" y="0"/>
            <wp:positionH relativeFrom="column">
              <wp:posOffset>-900430</wp:posOffset>
            </wp:positionH>
            <wp:positionV relativeFrom="paragraph">
              <wp:posOffset>-740410</wp:posOffset>
            </wp:positionV>
            <wp:extent cx="7591425" cy="10775459"/>
            <wp:effectExtent l="0" t="0" r="0" b="69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6" cy="1078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617770" w:rsidRPr="009C12F1" w14:paraId="5B230445" w14:textId="77777777" w:rsidTr="000E5C5C">
        <w:trPr>
          <w:trHeight w:val="20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D65238C" w14:textId="4F1685B2" w:rsidR="00617770" w:rsidRPr="009E56FB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What is the publication about</w:t>
            </w:r>
            <w:r w:rsidR="00617770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A81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FBCFD" w14:textId="6E801070" w:rsidR="00617770" w:rsidRPr="00AC1A05" w:rsidRDefault="00BD5E0D" w:rsidP="000E5C5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The publication provides information on the balance of payments and international investment position</w:t>
            </w:r>
            <w:r w:rsidR="000E5C5C" w:rsidRP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for </w:t>
            </w:r>
            <w:r w:rsidR="009C12F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the I half of 2023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, which was compiled in accordance with the sixth edition of the Balance of Payments and International Investment Position Manual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of International Monetary Fund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(BPM6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,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IMF, 2009).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225DA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9C12F1" w14:paraId="286BFF90" w14:textId="77777777" w:rsidTr="000E5C5C">
        <w:trPr>
          <w:trHeight w:val="1541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7B05E" w14:textId="2DE2418E" w:rsidR="00617770" w:rsidRPr="005B0F6E" w:rsidRDefault="005B0F6E" w:rsidP="000E5C5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What date are data relevant?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62A" w14:textId="77777777" w:rsidR="00617770" w:rsidRPr="009E56FB" w:rsidRDefault="00617770" w:rsidP="005A223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984E" w14:textId="54F25E2C" w:rsidR="00617770" w:rsidRPr="00AC1A05" w:rsidRDefault="00BD5E0D" w:rsidP="000E5C5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The data, presented in the publication,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are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relevant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br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as of </w:t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September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, 2023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CA328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9C12F1" w14:paraId="09F8CEB3" w14:textId="77777777" w:rsidTr="000E5C5C">
        <w:trPr>
          <w:trHeight w:val="2556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553134" w14:textId="77777777" w:rsidR="000E5C5C" w:rsidRDefault="000E5C5C" w:rsidP="000E5C5C">
            <w:pPr>
              <w:spacing w:after="240" w:line="240" w:lineRule="auto"/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</w:pPr>
          </w:p>
          <w:p w14:paraId="5237FC78" w14:textId="2FF50F35" w:rsidR="00617770" w:rsidRPr="009E56FB" w:rsidRDefault="005B0F6E" w:rsidP="000E5C5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Where can data be found</w:t>
            </w:r>
            <w:r w:rsidR="00617770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A89" w14:textId="77777777" w:rsidR="00617770" w:rsidRPr="009E56FB" w:rsidRDefault="00617770" w:rsidP="005A223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A5AB" w14:textId="363ABE49" w:rsidR="00617770" w:rsidRPr="00AC1A05" w:rsidRDefault="00BD5E0D" w:rsidP="00BD5E0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S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tatistical tables on the standard and analytical presentations of the balance of payments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and international investment position are available on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websites of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  <w:t xml:space="preserve">the Central Bank of Uzbekistan </w:t>
            </w:r>
            <w:hyperlink r:id="rId14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en-US" w:eastAsia="ru-RU"/>
                </w:rPr>
                <w:t>http://www.cbu.uz/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International Monetary Fund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instrText xml:space="preserve"> HYPERLINK "</w:instrTex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instrText>http://data.imf.org/</w:instrTex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separate"/>
            </w:r>
            <w:r w:rsidRPr="00046F37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t>http://data.imf.org/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end"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A9166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9C12F1" w14:paraId="7EA2B101" w14:textId="77777777" w:rsidTr="005A2234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91E57EF" w14:textId="11842D51" w:rsidR="00617770" w:rsidRPr="009E56FB" w:rsidRDefault="005B0F6E" w:rsidP="005B0F6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 xml:space="preserve">Whom to 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contact </w:t>
            </w: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with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questions and proposals concerning the publication</w:t>
            </w: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?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A6D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FD4" w14:textId="6298E943" w:rsidR="00617770" w:rsidRPr="003E0E87" w:rsidRDefault="005B0F6E" w:rsidP="005A2234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5B0F6E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J. Fayzullaxodjaev</w:t>
            </w:r>
            <w:r w:rsidR="00617770"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 </w:t>
            </w:r>
          </w:p>
          <w:p w14:paraId="5D2DB5C0" w14:textId="2EB5628F" w:rsidR="00617770" w:rsidRPr="004F4554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Director of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>Currency regulation and balance of payments d</w:t>
            </w: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epartment</w:t>
            </w:r>
          </w:p>
          <w:p w14:paraId="3DA26982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AB66324" w14:textId="77777777" w:rsidR="00617770" w:rsidRPr="004F4554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(+998) 71 212-60-38                      </w:t>
            </w:r>
            <w:r>
              <w:fldChar w:fldCharType="begin"/>
            </w:r>
            <w:r w:rsidRPr="00617770">
              <w:rPr>
                <w:lang w:val="uz-Cyrl-UZ"/>
              </w:rPr>
              <w:instrText xml:space="preserve"> HYPERLINK "mailto:j.fayzullaxodjaev@cbu.uz"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t>j.fayzullaxodjaev@cbu.uz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fldChar w:fldCharType="end"/>
            </w:r>
          </w:p>
          <w:p w14:paraId="6206176B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46FE42AE" w14:textId="77777777" w:rsidR="000E5C5C" w:rsidRDefault="000E5C5C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</w:pPr>
          </w:p>
          <w:p w14:paraId="1EBD5EAE" w14:textId="00AEA50B" w:rsidR="00617770" w:rsidRPr="003E0E87" w:rsidRDefault="005B0F6E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 xml:space="preserve">O.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>Tojiddinov</w:t>
            </w:r>
            <w:proofErr w:type="spellEnd"/>
            <w:r w:rsidR="00617770"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 </w:t>
            </w:r>
          </w:p>
          <w:p w14:paraId="61E607E2" w14:textId="57A61A7E" w:rsidR="00617770" w:rsidRPr="005B0F6E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>Deputy director of the department</w:t>
            </w:r>
            <w:r w:rsidR="00617770"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 </w:t>
            </w:r>
            <w:r w:rsidR="00617770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–</w:t>
            </w:r>
            <w:r w:rsidR="00617770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head of </w:t>
            </w: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balance of payments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division </w:t>
            </w:r>
          </w:p>
          <w:p w14:paraId="50C95EAA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5841795F" w14:textId="77777777" w:rsidR="00617770" w:rsidRPr="004F4554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r>
              <w:fldChar w:fldCharType="begin"/>
            </w:r>
            <w:r w:rsidRPr="00617770">
              <w:rPr>
                <w:lang w:val="uz-Cyrl-UZ"/>
              </w:rPr>
              <w:instrText xml:space="preserve"> HYPERLINK "mailto:o.tojiddinov@cbu.uz"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o.tojiddinov@cbu.uz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</w:p>
          <w:p w14:paraId="62DA14A4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431053FD" w14:textId="77777777" w:rsidR="000E5C5C" w:rsidRDefault="000E5C5C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</w:pPr>
          </w:p>
          <w:p w14:paraId="6356BD54" w14:textId="77A2FEA7" w:rsidR="00617770" w:rsidRPr="005B0F6E" w:rsidRDefault="005B0F6E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 xml:space="preserve">Sh.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>Khayitboev</w:t>
            </w:r>
            <w:proofErr w:type="spellEnd"/>
          </w:p>
          <w:p w14:paraId="11AA32FC" w14:textId="5A718C67" w:rsidR="00617770" w:rsidRPr="004F4554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Deputy </w:t>
            </w: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head of balance of payments division</w:t>
            </w:r>
          </w:p>
          <w:p w14:paraId="49729D80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4D111AEE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r>
              <w:fldChar w:fldCharType="begin"/>
            </w:r>
            <w:r w:rsidRPr="00ED0AE2">
              <w:rPr>
                <w:lang w:val="en-US"/>
              </w:rPr>
              <w:instrText xml:space="preserve"> HYPERLINK "mailto:sh.khayitboev@cbu.uz"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sh.khayitboev@cbu.uz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2442F7BA" w14:textId="77777777" w:rsidR="00617770" w:rsidRPr="004F4554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52285A92" w14:textId="7E7A09E2" w:rsidR="00617770" w:rsidRDefault="00617770" w:rsidP="005A2234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</w:p>
          <w:p w14:paraId="71277D82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306E8B4" w14:textId="3AB54245" w:rsidR="00617770" w:rsidRPr="009E56FB" w:rsidRDefault="005B0F6E" w:rsidP="000E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Any questions and proposals can also be sent to e-mail address </w:t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begin"/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instrText xml:space="preserve"> HYPERLINK "mailto:val@cbu.uz" </w:instrText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separate"/>
            </w:r>
            <w:r w:rsidRPr="000E5C5C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t>val@cbu.uz</w:t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fldChar w:fldCharType="end"/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617770"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9FA44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58B73F36" w14:textId="77777777" w:rsidR="00EC6CE7" w:rsidRPr="00EC6CE7" w:rsidRDefault="00EC6CE7" w:rsidP="00483F44">
      <w:pPr>
        <w:pStyle w:val="1"/>
        <w:spacing w:before="360" w:after="480" w:line="276" w:lineRule="auto"/>
        <w:ind w:firstLine="709"/>
        <w:rPr>
          <w:rFonts w:ascii="Arial" w:hAnsi="Arial" w:cs="Arial"/>
          <w:b/>
          <w:color w:val="6B8068"/>
          <w:sz w:val="2"/>
          <w:szCs w:val="34"/>
          <w:lang w:val="uz-Cyrl-UZ"/>
        </w:rPr>
      </w:pPr>
    </w:p>
    <w:p w14:paraId="31240F35" w14:textId="6996C959" w:rsidR="00816C4E" w:rsidRPr="00572F74" w:rsidRDefault="00712363" w:rsidP="00483F44">
      <w:pPr>
        <w:pStyle w:val="1"/>
        <w:spacing w:before="360" w:after="48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r w:rsidRPr="00572F74">
        <w:rPr>
          <w:rFonts w:ascii="Arial" w:hAnsi="Arial" w:cs="Arial"/>
          <w:b/>
          <w:color w:val="6B8068"/>
          <w:sz w:val="34"/>
          <w:szCs w:val="34"/>
          <w:lang w:val="uz-Cyrl-UZ"/>
        </w:rPr>
        <w:t>BRIEF REVIEW</w:t>
      </w:r>
    </w:p>
    <w:p w14:paraId="3F143DA5" w14:textId="77777777" w:rsidR="00EC6CE7" w:rsidRPr="00EC6CE7" w:rsidRDefault="00EC6CE7" w:rsidP="00483F44">
      <w:pPr>
        <w:spacing w:after="200" w:line="288" w:lineRule="auto"/>
        <w:ind w:firstLine="709"/>
        <w:jc w:val="both"/>
        <w:rPr>
          <w:rFonts w:ascii="Arial" w:hAnsi="Arial" w:cs="Arial"/>
          <w:sz w:val="2"/>
          <w:szCs w:val="26"/>
          <w:lang w:val="en-US"/>
        </w:rPr>
      </w:pPr>
    </w:p>
    <w:p w14:paraId="2F4C3556" w14:textId="41BA6231" w:rsidR="00ED0AE2" w:rsidRPr="00483F44" w:rsidRDefault="00556D3E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>During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the I </w:t>
      </w:r>
      <w:r w:rsidR="004334F7">
        <w:rPr>
          <w:rFonts w:ascii="Arial" w:hAnsi="Arial" w:cs="Arial"/>
          <w:sz w:val="28"/>
          <w:szCs w:val="26"/>
          <w:lang w:val="en-US"/>
        </w:rPr>
        <w:t>half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of 2023, in the </w:t>
      </w:r>
      <w:r>
        <w:rPr>
          <w:rFonts w:ascii="Arial" w:hAnsi="Arial" w:cs="Arial"/>
          <w:sz w:val="28"/>
          <w:szCs w:val="26"/>
          <w:lang w:val="en-US"/>
        </w:rPr>
        <w:t>conditions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of </w:t>
      </w:r>
      <w:r w:rsidR="004334F7">
        <w:rPr>
          <w:rFonts w:ascii="Arial" w:hAnsi="Arial" w:cs="Arial"/>
          <w:sz w:val="28"/>
          <w:szCs w:val="26"/>
          <w:lang w:val="en-US"/>
        </w:rPr>
        <w:t>increase</w:t>
      </w:r>
      <w:r>
        <w:rPr>
          <w:rFonts w:ascii="Arial" w:hAnsi="Arial" w:cs="Arial"/>
          <w:sz w:val="28"/>
          <w:szCs w:val="26"/>
          <w:lang w:val="en-US"/>
        </w:rPr>
        <w:t>s</w:t>
      </w:r>
      <w:r w:rsidR="004334F7">
        <w:rPr>
          <w:rFonts w:ascii="Arial" w:hAnsi="Arial" w:cs="Arial"/>
          <w:sz w:val="28"/>
          <w:szCs w:val="26"/>
          <w:lang w:val="en-US"/>
        </w:rPr>
        <w:t xml:space="preserve"> in costs of attracting liquidity and </w:t>
      </w:r>
      <w:r w:rsidR="004334F7" w:rsidRPr="004334F7">
        <w:rPr>
          <w:rFonts w:ascii="Arial" w:hAnsi="Arial" w:cs="Arial"/>
          <w:sz w:val="28"/>
          <w:szCs w:val="26"/>
          <w:lang w:val="en-US"/>
        </w:rPr>
        <w:t>vulnerabilities in international financial markets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, </w:t>
      </w:r>
      <w:r w:rsidR="009C12F1">
        <w:rPr>
          <w:rFonts w:ascii="Arial" w:hAnsi="Arial" w:cs="Arial"/>
          <w:sz w:val="28"/>
          <w:szCs w:val="26"/>
          <w:lang w:val="en-US"/>
        </w:rPr>
        <w:br/>
      </w:r>
      <w:r w:rsidR="004334F7" w:rsidRPr="004334F7">
        <w:rPr>
          <w:rFonts w:ascii="Arial" w:hAnsi="Arial" w:cs="Arial"/>
          <w:sz w:val="28"/>
          <w:szCs w:val="26"/>
          <w:lang w:val="en-US"/>
        </w:rPr>
        <w:t xml:space="preserve">a slower-than-expected recovery in economic activity </w:t>
      </w:r>
      <w:r w:rsidR="004334F7">
        <w:rPr>
          <w:rFonts w:ascii="Arial" w:hAnsi="Arial" w:cs="Arial"/>
          <w:sz w:val="28"/>
          <w:szCs w:val="26"/>
          <w:lang w:val="en-US"/>
        </w:rPr>
        <w:t>in</w:t>
      </w:r>
      <w:r w:rsidR="004334F7" w:rsidRPr="004334F7">
        <w:rPr>
          <w:rFonts w:ascii="Arial" w:hAnsi="Arial" w:cs="Arial"/>
          <w:sz w:val="28"/>
          <w:szCs w:val="26"/>
          <w:lang w:val="en-US"/>
        </w:rPr>
        <w:t xml:space="preserve"> major trading partners and increased use of transport corridors in the Central Asian region amid logistics disruptions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, the </w:t>
      </w:r>
      <w:r w:rsidR="00ED0AE2" w:rsidRPr="00483F44">
        <w:rPr>
          <w:rFonts w:ascii="Arial" w:hAnsi="Arial" w:cs="Arial"/>
          <w:b/>
          <w:sz w:val="28"/>
          <w:szCs w:val="26"/>
          <w:lang w:val="en-US"/>
        </w:rPr>
        <w:t>current account balance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of Uzbekistan was negative and amounted to USD </w:t>
      </w:r>
      <w:r w:rsidR="004334F7">
        <w:rPr>
          <w:rFonts w:ascii="Arial" w:hAnsi="Arial" w:cs="Arial"/>
          <w:sz w:val="28"/>
          <w:szCs w:val="26"/>
          <w:lang w:val="en-US"/>
        </w:rPr>
        <w:t>3.2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="00ED0AE2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. </w:t>
      </w:r>
      <w:r w:rsidR="00ED0AE2" w:rsidRPr="00483F44">
        <w:rPr>
          <w:rFonts w:ascii="Arial" w:hAnsi="Arial" w:cs="Arial"/>
          <w:i/>
          <w:sz w:val="28"/>
          <w:szCs w:val="26"/>
          <w:lang w:val="en-US"/>
        </w:rPr>
        <w:t>(negative balance</w:t>
      </w:r>
      <w:r w:rsidR="00EC6CE7">
        <w:rPr>
          <w:rFonts w:ascii="Arial" w:hAnsi="Arial" w:cs="Arial"/>
          <w:i/>
          <w:sz w:val="28"/>
          <w:szCs w:val="26"/>
          <w:lang w:val="en-US"/>
        </w:rPr>
        <w:t xml:space="preserve"> of</w:t>
      </w:r>
      <w:r w:rsidR="00EC6CE7" w:rsidRPr="00EC6CE7">
        <w:rPr>
          <w:rFonts w:ascii="Arial" w:hAnsi="Arial" w:cs="Arial"/>
          <w:i/>
          <w:sz w:val="28"/>
          <w:szCs w:val="26"/>
          <w:lang w:val="en-US"/>
        </w:rPr>
        <w:t xml:space="preserve"> </w:t>
      </w:r>
      <w:r w:rsidR="00EC6CE7" w:rsidRPr="00483F44">
        <w:rPr>
          <w:rFonts w:ascii="Arial" w:hAnsi="Arial" w:cs="Arial"/>
          <w:i/>
          <w:sz w:val="28"/>
          <w:szCs w:val="26"/>
          <w:lang w:val="en-US"/>
        </w:rPr>
        <w:t xml:space="preserve">USD </w:t>
      </w:r>
      <w:r w:rsidR="00EC6CE7">
        <w:rPr>
          <w:rFonts w:ascii="Arial" w:hAnsi="Arial" w:cs="Arial"/>
          <w:i/>
          <w:sz w:val="28"/>
          <w:szCs w:val="26"/>
          <w:lang w:val="en-US"/>
        </w:rPr>
        <w:t xml:space="preserve">637.7 </w:t>
      </w:r>
      <w:proofErr w:type="spellStart"/>
      <w:r w:rsidR="00EC6CE7">
        <w:rPr>
          <w:rFonts w:ascii="Arial" w:hAnsi="Arial" w:cs="Arial"/>
          <w:i/>
          <w:sz w:val="28"/>
          <w:szCs w:val="26"/>
          <w:lang w:val="en-US"/>
        </w:rPr>
        <w:t>m</w:t>
      </w:r>
      <w:r w:rsidR="00EC6CE7" w:rsidRPr="00483F44">
        <w:rPr>
          <w:rFonts w:ascii="Arial" w:hAnsi="Arial" w:cs="Arial"/>
          <w:i/>
          <w:sz w:val="28"/>
          <w:szCs w:val="26"/>
          <w:lang w:val="en-US"/>
        </w:rPr>
        <w:t>ln</w:t>
      </w:r>
      <w:proofErr w:type="spellEnd"/>
      <w:r w:rsidR="00EC6CE7"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ED0AE2" w:rsidRPr="00483F44">
        <w:rPr>
          <w:rFonts w:ascii="Arial" w:hAnsi="Arial" w:cs="Arial"/>
          <w:i/>
          <w:sz w:val="28"/>
          <w:szCs w:val="26"/>
          <w:lang w:val="en-US"/>
        </w:rPr>
        <w:t xml:space="preserve"> in </w:t>
      </w:r>
      <w:r w:rsidR="009C12F1">
        <w:rPr>
          <w:rFonts w:ascii="Arial" w:hAnsi="Arial" w:cs="Arial"/>
          <w:i/>
          <w:sz w:val="28"/>
          <w:szCs w:val="26"/>
          <w:lang w:val="en-US"/>
        </w:rPr>
        <w:br/>
      </w:r>
      <w:r w:rsidR="004334F7">
        <w:rPr>
          <w:rFonts w:ascii="Arial" w:hAnsi="Arial" w:cs="Arial"/>
          <w:i/>
          <w:sz w:val="28"/>
          <w:szCs w:val="26"/>
          <w:lang w:val="en-US"/>
        </w:rPr>
        <w:t>the I half</w:t>
      </w:r>
      <w:r w:rsidR="00ED0AE2" w:rsidRPr="00483F44">
        <w:rPr>
          <w:rFonts w:ascii="Arial" w:hAnsi="Arial" w:cs="Arial"/>
          <w:i/>
          <w:sz w:val="28"/>
          <w:szCs w:val="26"/>
          <w:lang w:val="en-US"/>
        </w:rPr>
        <w:t xml:space="preserve"> of 2022)</w:t>
      </w:r>
      <w:r w:rsidR="00ED0AE2"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39AF0DE7" w14:textId="2D6C67CA" w:rsidR="00ED0AE2" w:rsidRPr="00483F44" w:rsidRDefault="00556D3E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>In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r w:rsidR="004334F7">
        <w:rPr>
          <w:rFonts w:ascii="Arial" w:hAnsi="Arial" w:cs="Arial"/>
          <w:sz w:val="28"/>
          <w:szCs w:val="26"/>
          <w:lang w:val="en-US"/>
        </w:rPr>
        <w:t>the I half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 of 2023, the dynamics of the current account remained exposed to risks associated with such factors as the aggravation</w:t>
      </w:r>
      <w:r w:rsidR="004334F7">
        <w:rPr>
          <w:rFonts w:ascii="Arial" w:hAnsi="Arial" w:cs="Arial"/>
          <w:sz w:val="28"/>
          <w:szCs w:val="26"/>
          <w:lang w:val="en-US"/>
        </w:rPr>
        <w:t xml:space="preserve"> of the geopolitical situation and 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high </w:t>
      </w:r>
      <w:r>
        <w:rPr>
          <w:rFonts w:ascii="Arial" w:hAnsi="Arial" w:cs="Arial"/>
          <w:sz w:val="28"/>
          <w:szCs w:val="26"/>
          <w:lang w:val="en-US"/>
        </w:rPr>
        <w:t xml:space="preserve">inflation </w:t>
      </w:r>
      <w:r w:rsidR="005B4002">
        <w:rPr>
          <w:rFonts w:ascii="Arial" w:hAnsi="Arial" w:cs="Arial"/>
          <w:sz w:val="28"/>
          <w:szCs w:val="26"/>
          <w:lang w:val="en-US"/>
        </w:rPr>
        <w:t>proces</w:t>
      </w:r>
      <w:r w:rsidR="005B4002" w:rsidRPr="005B4002">
        <w:rPr>
          <w:rFonts w:ascii="Arial" w:hAnsi="Arial" w:cs="Arial"/>
          <w:sz w:val="28"/>
          <w:szCs w:val="26"/>
          <w:lang w:val="en-US"/>
        </w:rPr>
        <w:t>ses</w:t>
      </w:r>
      <w:r>
        <w:rPr>
          <w:rFonts w:ascii="Arial" w:hAnsi="Arial" w:cs="Arial"/>
          <w:sz w:val="28"/>
          <w:szCs w:val="26"/>
          <w:lang w:val="en-US"/>
        </w:rPr>
        <w:t xml:space="preserve"> </w:t>
      </w:r>
      <w:r w:rsidR="008859E5">
        <w:rPr>
          <w:rFonts w:ascii="Arial" w:hAnsi="Arial" w:cs="Arial"/>
          <w:sz w:val="28"/>
          <w:szCs w:val="26"/>
          <w:lang w:val="en-US"/>
        </w:rPr>
        <w:t xml:space="preserve">in </w:t>
      </w:r>
      <w:r w:rsidR="008859E5" w:rsidRPr="008859E5">
        <w:rPr>
          <w:rFonts w:ascii="Arial" w:hAnsi="Arial" w:cs="Arial"/>
          <w:sz w:val="28"/>
          <w:szCs w:val="26"/>
          <w:lang w:val="en-US"/>
        </w:rPr>
        <w:t>leading economies</w:t>
      </w:r>
      <w:r w:rsidR="00ED0AE2"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73BF647C" w14:textId="1A955A49" w:rsidR="00712363" w:rsidRPr="00483F44" w:rsidRDefault="00ED0AE2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483F44">
        <w:rPr>
          <w:rFonts w:ascii="Arial" w:hAnsi="Arial" w:cs="Arial"/>
          <w:sz w:val="28"/>
          <w:szCs w:val="26"/>
          <w:lang w:val="en-US"/>
        </w:rPr>
        <w:t>T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he negative trade (goods and services) balance </w:t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(USD </w:t>
      </w:r>
      <w:r w:rsidR="008859E5">
        <w:rPr>
          <w:rFonts w:ascii="Arial" w:hAnsi="Arial" w:cs="Arial"/>
          <w:i/>
          <w:sz w:val="28"/>
          <w:szCs w:val="26"/>
          <w:lang w:val="en-US"/>
        </w:rPr>
        <w:t>7</w:t>
      </w:r>
      <w:r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8859E5">
        <w:rPr>
          <w:rFonts w:ascii="Arial" w:hAnsi="Arial" w:cs="Arial"/>
          <w:i/>
          <w:sz w:val="28"/>
          <w:szCs w:val="26"/>
          <w:lang w:val="en-US"/>
        </w:rPr>
        <w:t>7</w:t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 </w:t>
      </w:r>
      <w:proofErr w:type="spellStart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.) 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was partially offset by the positive balance of primary and secondary income </w:t>
      </w:r>
      <w:r w:rsidR="00483F44">
        <w:rPr>
          <w:rFonts w:ascii="Arial" w:hAnsi="Arial" w:cs="Arial"/>
          <w:sz w:val="28"/>
          <w:szCs w:val="26"/>
          <w:lang w:val="en-US"/>
        </w:rPr>
        <w:br/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(USD </w:t>
      </w:r>
      <w:r w:rsidR="008859E5">
        <w:rPr>
          <w:rFonts w:ascii="Arial" w:hAnsi="Arial" w:cs="Arial"/>
          <w:i/>
          <w:sz w:val="28"/>
          <w:szCs w:val="26"/>
          <w:lang w:val="en-US"/>
        </w:rPr>
        <w:t>4</w:t>
      </w:r>
      <w:r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8859E5">
        <w:rPr>
          <w:rFonts w:ascii="Arial" w:hAnsi="Arial" w:cs="Arial"/>
          <w:i/>
          <w:sz w:val="28"/>
          <w:szCs w:val="26"/>
          <w:lang w:val="en-US"/>
        </w:rPr>
        <w:t>5</w:t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 </w:t>
      </w:r>
      <w:proofErr w:type="spellStart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.)</w:t>
      </w:r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60C2F25F" w14:textId="7A454CB2" w:rsidR="00ED0AE2" w:rsidRPr="00483F44" w:rsidRDefault="00ED0AE2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483F44">
        <w:rPr>
          <w:rFonts w:ascii="Arial" w:hAnsi="Arial" w:cs="Arial"/>
          <w:sz w:val="28"/>
          <w:szCs w:val="26"/>
          <w:lang w:val="en-US"/>
        </w:rPr>
        <w:t xml:space="preserve">During the reporting period, external trade turnover </w:t>
      </w:r>
      <w:r w:rsidR="00AC238F">
        <w:rPr>
          <w:rFonts w:ascii="Arial" w:hAnsi="Arial" w:cs="Arial"/>
          <w:sz w:val="28"/>
          <w:szCs w:val="26"/>
          <w:lang w:val="en-US"/>
        </w:rPr>
        <w:t xml:space="preserve">amounted to </w:t>
      </w:r>
      <w:r w:rsidR="00AC238F">
        <w:rPr>
          <w:rFonts w:ascii="Arial" w:hAnsi="Arial" w:cs="Arial"/>
          <w:sz w:val="28"/>
          <w:szCs w:val="26"/>
          <w:lang w:val="en-US"/>
        </w:rPr>
        <w:br/>
        <w:t>USD 31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.9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 </w:t>
      </w:r>
      <w:r w:rsidR="00AC238F">
        <w:rPr>
          <w:rFonts w:ascii="Arial" w:hAnsi="Arial" w:cs="Arial"/>
          <w:i/>
          <w:sz w:val="28"/>
          <w:szCs w:val="26"/>
          <w:lang w:val="en-US"/>
        </w:rPr>
        <w:t>(USD 26.7</w:t>
      </w:r>
      <w:r w:rsidRPr="00483F44">
        <w:rPr>
          <w:rFonts w:ascii="Arial" w:hAnsi="Arial" w:cs="Arial"/>
          <w:i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i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i/>
          <w:sz w:val="28"/>
          <w:szCs w:val="26"/>
          <w:lang w:val="en-US"/>
        </w:rPr>
        <w:t xml:space="preserve">. in </w:t>
      </w:r>
      <w:r w:rsidR="004334F7">
        <w:rPr>
          <w:rFonts w:ascii="Arial" w:hAnsi="Arial" w:cs="Arial"/>
          <w:i/>
          <w:sz w:val="28"/>
          <w:szCs w:val="26"/>
          <w:lang w:val="en-US"/>
        </w:rPr>
        <w:t>the I half</w:t>
      </w:r>
      <w:r w:rsidRPr="00483F44">
        <w:rPr>
          <w:rFonts w:ascii="Arial" w:hAnsi="Arial" w:cs="Arial"/>
          <w:i/>
          <w:sz w:val="28"/>
          <w:szCs w:val="26"/>
          <w:lang w:val="en-US"/>
        </w:rPr>
        <w:t xml:space="preserve"> of 2022)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. </w:t>
      </w:r>
      <w:r w:rsidR="00AC238F">
        <w:rPr>
          <w:rFonts w:ascii="Arial" w:hAnsi="Arial" w:cs="Arial"/>
          <w:sz w:val="28"/>
          <w:szCs w:val="26"/>
          <w:lang w:val="en-US"/>
        </w:rPr>
        <w:t>T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he volume of export </w:t>
      </w:r>
      <w:r w:rsidR="00AC238F">
        <w:rPr>
          <w:rFonts w:ascii="Arial" w:hAnsi="Arial" w:cs="Arial"/>
          <w:sz w:val="28"/>
          <w:szCs w:val="26"/>
          <w:lang w:val="en-US"/>
        </w:rPr>
        <w:t>amounted to USD 12.1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., and the volume of import – USD </w:t>
      </w:r>
      <w:r w:rsidR="00AC238F">
        <w:rPr>
          <w:rFonts w:ascii="Arial" w:hAnsi="Arial" w:cs="Arial"/>
          <w:sz w:val="28"/>
          <w:szCs w:val="26"/>
          <w:lang w:val="en-US"/>
        </w:rPr>
        <w:t>1</w:t>
      </w:r>
      <w:r w:rsidRPr="00483F44">
        <w:rPr>
          <w:rFonts w:ascii="Arial" w:hAnsi="Arial" w:cs="Arial"/>
          <w:sz w:val="28"/>
          <w:szCs w:val="26"/>
          <w:lang w:val="en-US"/>
        </w:rPr>
        <w:t>9.</w:t>
      </w:r>
      <w:r w:rsidR="00AC238F">
        <w:rPr>
          <w:rFonts w:ascii="Arial" w:hAnsi="Arial" w:cs="Arial"/>
          <w:sz w:val="28"/>
          <w:szCs w:val="26"/>
          <w:lang w:val="en-US"/>
        </w:rPr>
        <w:t>8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., </w:t>
      </w:r>
      <w:r w:rsidR="005B4002">
        <w:rPr>
          <w:rFonts w:ascii="Arial" w:hAnsi="Arial" w:cs="Arial"/>
          <w:sz w:val="28"/>
          <w:szCs w:val="26"/>
          <w:lang w:val="en-US"/>
        </w:rPr>
        <w:br/>
      </w:r>
      <w:r w:rsidRPr="00483F44">
        <w:rPr>
          <w:rFonts w:ascii="Arial" w:hAnsi="Arial" w:cs="Arial"/>
          <w:sz w:val="28"/>
          <w:szCs w:val="26"/>
          <w:lang w:val="en-US"/>
        </w:rPr>
        <w:t>which increased by 16%</w:t>
      </w:r>
      <w:r w:rsidR="00AC238F">
        <w:rPr>
          <w:rFonts w:ascii="Arial" w:hAnsi="Arial" w:cs="Arial"/>
          <w:sz w:val="28"/>
          <w:szCs w:val="26"/>
          <w:lang w:val="en-US"/>
        </w:rPr>
        <w:t xml:space="preserve"> and 22%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, respectively, compared to </w:t>
      </w:r>
      <w:r w:rsidR="004334F7">
        <w:rPr>
          <w:rFonts w:ascii="Arial" w:hAnsi="Arial" w:cs="Arial"/>
          <w:sz w:val="28"/>
          <w:szCs w:val="26"/>
          <w:lang w:val="en-US"/>
        </w:rPr>
        <w:t>the I half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of </w:t>
      </w:r>
      <w:r w:rsidR="005B4002">
        <w:rPr>
          <w:rFonts w:ascii="Arial" w:hAnsi="Arial" w:cs="Arial"/>
          <w:sz w:val="28"/>
          <w:szCs w:val="26"/>
          <w:lang w:val="en-US"/>
        </w:rPr>
        <w:br/>
      </w:r>
      <w:r w:rsidR="00AC238F">
        <w:rPr>
          <w:rFonts w:ascii="Arial" w:hAnsi="Arial" w:cs="Arial"/>
          <w:sz w:val="28"/>
          <w:szCs w:val="26"/>
          <w:lang w:val="en-US"/>
        </w:rPr>
        <w:t>the previous year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107EE2A9" w14:textId="7D7F56E3" w:rsidR="00712363" w:rsidRPr="00483F44" w:rsidRDefault="00AC238F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 xml:space="preserve">Export of goods 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amounted to USD </w:t>
      </w:r>
      <w:r>
        <w:rPr>
          <w:rFonts w:ascii="Arial" w:hAnsi="Arial" w:cs="Arial"/>
          <w:sz w:val="28"/>
          <w:szCs w:val="26"/>
          <w:lang w:val="en-US"/>
        </w:rPr>
        <w:t>10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. and services to USD </w:t>
      </w:r>
      <w:r>
        <w:rPr>
          <w:rFonts w:ascii="Arial" w:hAnsi="Arial" w:cs="Arial"/>
          <w:sz w:val="28"/>
          <w:szCs w:val="26"/>
          <w:lang w:val="en-US"/>
        </w:rPr>
        <w:t>2</w:t>
      </w:r>
      <w:r w:rsidR="00ED0AE2"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 xml:space="preserve">1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b</w:t>
      </w:r>
      <w:r w:rsidR="00712363" w:rsidRPr="00483F44">
        <w:rPr>
          <w:rFonts w:ascii="Arial" w:hAnsi="Arial" w:cs="Arial"/>
          <w:sz w:val="28"/>
          <w:szCs w:val="26"/>
          <w:lang w:val="en-US"/>
        </w:rPr>
        <w:t>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., while import of goods a</w:t>
      </w:r>
      <w:r w:rsidR="00ED0AE2" w:rsidRPr="00483F44">
        <w:rPr>
          <w:rFonts w:ascii="Arial" w:hAnsi="Arial" w:cs="Arial"/>
          <w:sz w:val="28"/>
          <w:szCs w:val="26"/>
          <w:lang w:val="en-US"/>
        </w:rPr>
        <w:t xml:space="preserve">nd services accounted for USD </w:t>
      </w:r>
      <w:r>
        <w:rPr>
          <w:rFonts w:ascii="Arial" w:hAnsi="Arial" w:cs="Arial"/>
          <w:sz w:val="28"/>
          <w:szCs w:val="26"/>
          <w:lang w:val="en-US"/>
        </w:rPr>
        <w:t>16</w:t>
      </w:r>
      <w:r w:rsidR="00ED0AE2"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3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. </w:t>
      </w:r>
      <w:r>
        <w:rPr>
          <w:rFonts w:ascii="Arial" w:hAnsi="Arial" w:cs="Arial"/>
          <w:sz w:val="28"/>
          <w:szCs w:val="26"/>
          <w:lang w:val="en-US"/>
        </w:rPr>
        <w:br/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and USD </w:t>
      </w:r>
      <w:r>
        <w:rPr>
          <w:rFonts w:ascii="Arial" w:hAnsi="Arial" w:cs="Arial"/>
          <w:sz w:val="28"/>
          <w:szCs w:val="26"/>
          <w:lang w:val="en-US"/>
        </w:rPr>
        <w:t>3</w:t>
      </w:r>
      <w:r w:rsidR="00ED0AE2"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5</w:t>
      </w:r>
      <w:r w:rsidR="00712363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., respectively.</w:t>
      </w:r>
    </w:p>
    <w:p w14:paraId="6ECA1960" w14:textId="2AA4FBC6" w:rsidR="00712363" w:rsidRDefault="00AC238F" w:rsidP="00483F44">
      <w:pPr>
        <w:spacing w:after="200" w:line="288" w:lineRule="auto"/>
        <w:ind w:firstLine="709"/>
        <w:jc w:val="both"/>
        <w:rPr>
          <w:rFonts w:ascii="Arial" w:hAnsi="Arial" w:cs="Arial"/>
          <w:i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en-US"/>
        </w:rPr>
        <w:t>The b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alance of the primary income </w:t>
      </w:r>
      <w:r>
        <w:rPr>
          <w:rFonts w:ascii="Arial" w:hAnsi="Arial" w:cs="Arial"/>
          <w:sz w:val="28"/>
          <w:szCs w:val="26"/>
          <w:lang w:val="en-US"/>
        </w:rPr>
        <w:t xml:space="preserve">was positive and 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accounted for </w:t>
      </w:r>
      <w:r>
        <w:rPr>
          <w:rFonts w:ascii="Arial" w:hAnsi="Arial" w:cs="Arial"/>
          <w:sz w:val="28"/>
          <w:szCs w:val="26"/>
          <w:lang w:val="uz-Cyrl-UZ"/>
        </w:rPr>
        <w:br/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USD </w:t>
      </w:r>
      <w:r>
        <w:rPr>
          <w:rFonts w:ascii="Arial" w:hAnsi="Arial" w:cs="Arial"/>
          <w:sz w:val="28"/>
          <w:szCs w:val="26"/>
          <w:lang w:val="en-US"/>
        </w:rPr>
        <w:t>98</w:t>
      </w:r>
      <w:r w:rsidR="00572F74"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9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(USD </w:t>
      </w:r>
      <w:r>
        <w:rPr>
          <w:rFonts w:ascii="Arial" w:hAnsi="Arial" w:cs="Arial"/>
          <w:i/>
          <w:sz w:val="28"/>
          <w:szCs w:val="26"/>
          <w:lang w:val="en-US"/>
        </w:rPr>
        <w:t>746</w:t>
      </w:r>
      <w:r w:rsidR="00572F74" w:rsidRPr="00483F44">
        <w:rPr>
          <w:rFonts w:ascii="Arial" w:hAnsi="Arial" w:cs="Arial"/>
          <w:i/>
          <w:sz w:val="28"/>
          <w:szCs w:val="26"/>
          <w:lang w:val="en-US"/>
        </w:rPr>
        <w:t>.</w:t>
      </w:r>
      <w:r>
        <w:rPr>
          <w:rFonts w:ascii="Arial" w:hAnsi="Arial" w:cs="Arial"/>
          <w:i/>
          <w:sz w:val="28"/>
          <w:szCs w:val="26"/>
          <w:lang w:val="en-US"/>
        </w:rPr>
        <w:t>4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mln</w:t>
      </w:r>
      <w:proofErr w:type="spellEnd"/>
      <w:r w:rsidR="00712363" w:rsidRPr="00483F44">
        <w:rPr>
          <w:rFonts w:ascii="Arial" w:hAnsi="Arial" w:cs="Arial"/>
          <w:i/>
          <w:sz w:val="28"/>
          <w:szCs w:val="26"/>
          <w:lang w:val="en-US"/>
        </w:rPr>
        <w:t xml:space="preserve">. </w:t>
      </w:r>
      <w:r w:rsidR="005A2234" w:rsidRPr="00483F44">
        <w:rPr>
          <w:rFonts w:ascii="Arial" w:hAnsi="Arial" w:cs="Arial"/>
          <w:i/>
          <w:sz w:val="28"/>
          <w:szCs w:val="26"/>
          <w:lang w:val="en-US"/>
        </w:rPr>
        <w:t xml:space="preserve">in </w:t>
      </w:r>
      <w:r w:rsidR="004334F7">
        <w:rPr>
          <w:rFonts w:ascii="Arial" w:hAnsi="Arial" w:cs="Arial"/>
          <w:i/>
          <w:sz w:val="28"/>
          <w:szCs w:val="26"/>
          <w:lang w:val="en-US"/>
        </w:rPr>
        <w:t>the I half</w:t>
      </w:r>
      <w:r w:rsidR="005A2234" w:rsidRPr="00483F44">
        <w:rPr>
          <w:rFonts w:ascii="Arial" w:hAnsi="Arial" w:cs="Arial"/>
          <w:i/>
          <w:sz w:val="28"/>
          <w:szCs w:val="26"/>
          <w:lang w:val="en-US"/>
        </w:rPr>
        <w:t xml:space="preserve"> of 2022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>)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. </w:t>
      </w:r>
      <w:r>
        <w:rPr>
          <w:rFonts w:ascii="Arial" w:hAnsi="Arial" w:cs="Arial"/>
          <w:sz w:val="28"/>
          <w:szCs w:val="26"/>
          <w:lang w:val="en-US"/>
        </w:rPr>
        <w:t>Moreover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, </w:t>
      </w:r>
      <w:r w:rsidR="00483F44">
        <w:rPr>
          <w:rFonts w:ascii="Arial" w:hAnsi="Arial" w:cs="Arial"/>
          <w:sz w:val="28"/>
          <w:szCs w:val="26"/>
          <w:lang w:val="uz-Cyrl-UZ"/>
        </w:rPr>
        <w:br/>
      </w:r>
      <w:r w:rsidR="00712363" w:rsidRPr="00483F44">
        <w:rPr>
          <w:rFonts w:ascii="Arial" w:hAnsi="Arial" w:cs="Arial"/>
          <w:sz w:val="28"/>
          <w:szCs w:val="26"/>
          <w:lang w:val="uz-Cyrl-UZ"/>
        </w:rPr>
        <w:t>the positive balance of se</w:t>
      </w:r>
      <w:r w:rsidR="005A2234" w:rsidRPr="00483F44">
        <w:rPr>
          <w:rFonts w:ascii="Arial" w:hAnsi="Arial" w:cs="Arial"/>
          <w:sz w:val="28"/>
          <w:szCs w:val="26"/>
          <w:lang w:val="uz-Cyrl-UZ"/>
        </w:rPr>
        <w:t xml:space="preserve">condary income amounted to USD </w:t>
      </w:r>
      <w:r>
        <w:rPr>
          <w:rFonts w:ascii="Arial" w:hAnsi="Arial" w:cs="Arial"/>
          <w:sz w:val="28"/>
          <w:szCs w:val="26"/>
          <w:lang w:val="en-US"/>
        </w:rPr>
        <w:t>4.4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>
        <w:rPr>
          <w:rFonts w:ascii="Arial" w:hAnsi="Arial" w:cs="Arial"/>
          <w:sz w:val="28"/>
          <w:szCs w:val="26"/>
          <w:lang w:val="en-US"/>
        </w:rPr>
        <w:t xml:space="preserve">and </w:t>
      </w:r>
      <w:r w:rsidRPr="00AC238F">
        <w:rPr>
          <w:rFonts w:ascii="Arial" w:hAnsi="Arial" w:cs="Arial"/>
          <w:sz w:val="28"/>
          <w:szCs w:val="26"/>
          <w:lang w:val="uz-Cyrl-UZ"/>
        </w:rPr>
        <w:t xml:space="preserve">remained </w:t>
      </w:r>
      <w:r>
        <w:rPr>
          <w:rFonts w:ascii="Arial" w:hAnsi="Arial" w:cs="Arial"/>
          <w:sz w:val="28"/>
          <w:szCs w:val="26"/>
          <w:lang w:val="en-US"/>
        </w:rPr>
        <w:t>almost</w:t>
      </w:r>
      <w:r w:rsidRPr="00AC238F">
        <w:rPr>
          <w:rFonts w:ascii="Arial" w:hAnsi="Arial" w:cs="Arial"/>
          <w:sz w:val="28"/>
          <w:szCs w:val="26"/>
          <w:lang w:val="uz-Cyrl-UZ"/>
        </w:rPr>
        <w:t xml:space="preserve"> unchanged 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compared to the corresponding period of the previous year 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(USD </w:t>
      </w:r>
      <w:r>
        <w:rPr>
          <w:rFonts w:ascii="Arial" w:hAnsi="Arial" w:cs="Arial"/>
          <w:i/>
          <w:sz w:val="28"/>
          <w:szCs w:val="26"/>
          <w:lang w:val="en-US"/>
        </w:rPr>
        <w:t>4</w:t>
      </w:r>
      <w:r w:rsidR="00572F74" w:rsidRPr="00483F44">
        <w:rPr>
          <w:rFonts w:ascii="Arial" w:hAnsi="Arial" w:cs="Arial"/>
          <w:i/>
          <w:sz w:val="28"/>
          <w:szCs w:val="26"/>
          <w:lang w:val="en-US"/>
        </w:rPr>
        <w:t>.</w:t>
      </w:r>
      <w:r>
        <w:rPr>
          <w:rFonts w:ascii="Arial" w:hAnsi="Arial" w:cs="Arial"/>
          <w:i/>
          <w:sz w:val="28"/>
          <w:szCs w:val="26"/>
          <w:lang w:val="en-US"/>
        </w:rPr>
        <w:t>3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6"/>
          <w:lang w:val="en-US"/>
        </w:rPr>
        <w:t>b</w:t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>ln</w:t>
      </w:r>
      <w:proofErr w:type="spellEnd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5A2234"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r w:rsidR="00E440F0" w:rsidRPr="00483F44">
        <w:rPr>
          <w:rFonts w:ascii="Arial" w:hAnsi="Arial" w:cs="Arial"/>
          <w:i/>
          <w:sz w:val="28"/>
          <w:szCs w:val="26"/>
          <w:lang w:val="uz-Cyrl-UZ"/>
        </w:rPr>
        <w:t xml:space="preserve">in </w:t>
      </w:r>
      <w:r w:rsidR="004334F7">
        <w:rPr>
          <w:rFonts w:ascii="Arial" w:hAnsi="Arial" w:cs="Arial"/>
          <w:i/>
          <w:sz w:val="28"/>
          <w:szCs w:val="26"/>
          <w:lang w:val="uz-Cyrl-UZ"/>
        </w:rPr>
        <w:t>the I half</w:t>
      </w:r>
      <w:r w:rsidR="00E440F0" w:rsidRPr="00483F44">
        <w:rPr>
          <w:rFonts w:ascii="Arial" w:hAnsi="Arial" w:cs="Arial"/>
          <w:i/>
          <w:sz w:val="28"/>
          <w:szCs w:val="26"/>
          <w:lang w:val="uz-Cyrl-UZ"/>
        </w:rPr>
        <w:t xml:space="preserve"> of 2022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>).</w:t>
      </w:r>
    </w:p>
    <w:p w14:paraId="165B9C45" w14:textId="783A60DD" w:rsidR="00AC238F" w:rsidRPr="00AC238F" w:rsidRDefault="00AC238F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>T</w:t>
      </w:r>
      <w:r w:rsidRPr="00AC238F">
        <w:rPr>
          <w:rFonts w:ascii="Arial" w:hAnsi="Arial" w:cs="Arial"/>
          <w:sz w:val="28"/>
          <w:szCs w:val="26"/>
          <w:lang w:val="en-US"/>
        </w:rPr>
        <w:t>he</w:t>
      </w:r>
      <w:r>
        <w:rPr>
          <w:rFonts w:ascii="Arial" w:hAnsi="Arial" w:cs="Arial"/>
          <w:sz w:val="28"/>
          <w:szCs w:val="26"/>
          <w:lang w:val="en-US"/>
        </w:rPr>
        <w:t xml:space="preserve"> </w:t>
      </w:r>
      <w:r w:rsidR="00781726">
        <w:rPr>
          <w:rFonts w:ascii="Arial" w:hAnsi="Arial" w:cs="Arial"/>
          <w:sz w:val="28"/>
          <w:szCs w:val="26"/>
          <w:lang w:val="en-US"/>
        </w:rPr>
        <w:t xml:space="preserve">high </w:t>
      </w:r>
      <w:r w:rsidRPr="00AC238F">
        <w:rPr>
          <w:rFonts w:ascii="Arial" w:hAnsi="Arial" w:cs="Arial"/>
          <w:sz w:val="28"/>
          <w:szCs w:val="26"/>
          <w:lang w:val="en-US"/>
        </w:rPr>
        <w:t xml:space="preserve">growth rate of </w:t>
      </w:r>
      <w:r w:rsidR="00781726">
        <w:rPr>
          <w:rFonts w:ascii="Arial" w:hAnsi="Arial" w:cs="Arial"/>
          <w:sz w:val="28"/>
          <w:szCs w:val="26"/>
          <w:lang w:val="en-US"/>
        </w:rPr>
        <w:t>remittance inflows</w:t>
      </w:r>
      <w:r>
        <w:rPr>
          <w:rFonts w:ascii="Arial" w:hAnsi="Arial" w:cs="Arial"/>
          <w:sz w:val="28"/>
          <w:szCs w:val="26"/>
          <w:lang w:val="en-US"/>
        </w:rPr>
        <w:t xml:space="preserve">, occurred </w:t>
      </w:r>
      <w:r w:rsidRPr="00AC238F">
        <w:rPr>
          <w:rFonts w:ascii="Arial" w:hAnsi="Arial" w:cs="Arial"/>
          <w:sz w:val="28"/>
          <w:szCs w:val="26"/>
          <w:lang w:val="en-US"/>
        </w:rPr>
        <w:t>in 2022</w:t>
      </w:r>
      <w:r>
        <w:rPr>
          <w:rFonts w:ascii="Arial" w:hAnsi="Arial" w:cs="Arial"/>
          <w:sz w:val="28"/>
          <w:szCs w:val="26"/>
          <w:lang w:val="en-US"/>
        </w:rPr>
        <w:t>,</w:t>
      </w:r>
      <w:r w:rsidRPr="00AC238F">
        <w:rPr>
          <w:rFonts w:ascii="Arial" w:hAnsi="Arial" w:cs="Arial"/>
          <w:sz w:val="28"/>
          <w:szCs w:val="26"/>
          <w:lang w:val="en-US"/>
        </w:rPr>
        <w:t xml:space="preserve"> </w:t>
      </w:r>
      <w:r w:rsidR="00556D3E">
        <w:rPr>
          <w:rFonts w:ascii="Arial" w:hAnsi="Arial" w:cs="Arial"/>
          <w:sz w:val="28"/>
          <w:szCs w:val="26"/>
          <w:lang w:val="en-US"/>
        </w:rPr>
        <w:t xml:space="preserve">was observed to </w:t>
      </w:r>
      <w:r w:rsidRPr="00AC238F">
        <w:rPr>
          <w:rFonts w:ascii="Arial" w:hAnsi="Arial" w:cs="Arial"/>
          <w:sz w:val="28"/>
          <w:szCs w:val="26"/>
          <w:lang w:val="en-US"/>
        </w:rPr>
        <w:t>return to its historical (fundamental) trends</w:t>
      </w:r>
      <w:r>
        <w:rPr>
          <w:rFonts w:ascii="Arial" w:hAnsi="Arial" w:cs="Arial"/>
          <w:sz w:val="28"/>
          <w:szCs w:val="26"/>
          <w:lang w:val="en-US"/>
        </w:rPr>
        <w:t xml:space="preserve"> d</w:t>
      </w:r>
      <w:r w:rsidRPr="00AC238F">
        <w:rPr>
          <w:rFonts w:ascii="Arial" w:hAnsi="Arial" w:cs="Arial"/>
          <w:sz w:val="28"/>
          <w:szCs w:val="26"/>
          <w:lang w:val="en-US"/>
        </w:rPr>
        <w:t>uring the reporting period.</w:t>
      </w:r>
    </w:p>
    <w:p w14:paraId="7FDFA2AC" w14:textId="77777777" w:rsidR="00483F44" w:rsidRPr="00483F44" w:rsidRDefault="00483F44" w:rsidP="00483F44">
      <w:pPr>
        <w:spacing w:after="200" w:line="288" w:lineRule="auto"/>
        <w:ind w:firstLine="709"/>
        <w:jc w:val="both"/>
        <w:rPr>
          <w:rFonts w:ascii="Arial" w:hAnsi="Arial" w:cs="Arial"/>
          <w:sz w:val="16"/>
          <w:szCs w:val="16"/>
          <w:lang w:val="uz-Cyrl-UZ"/>
        </w:rPr>
      </w:pPr>
    </w:p>
    <w:p w14:paraId="0712C7C7" w14:textId="6E708731" w:rsidR="00EC6CE7" w:rsidRDefault="00E440F0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 w:rsidRPr="00483F44">
        <w:rPr>
          <w:rFonts w:ascii="Arial" w:hAnsi="Arial" w:cs="Arial"/>
          <w:sz w:val="28"/>
          <w:szCs w:val="26"/>
          <w:lang w:val="uz-Cyrl-UZ"/>
        </w:rPr>
        <w:t xml:space="preserve">In </w:t>
      </w:r>
      <w:r w:rsidR="004334F7">
        <w:rPr>
          <w:rFonts w:ascii="Arial" w:hAnsi="Arial" w:cs="Arial"/>
          <w:sz w:val="28"/>
          <w:szCs w:val="26"/>
          <w:lang w:val="uz-Cyrl-UZ"/>
        </w:rPr>
        <w:t>the I half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of 2023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the </w:t>
      </w:r>
      <w:r w:rsidR="00712363" w:rsidRPr="00483F44">
        <w:rPr>
          <w:rFonts w:ascii="Arial" w:hAnsi="Arial" w:cs="Arial"/>
          <w:b/>
          <w:sz w:val="28"/>
          <w:szCs w:val="26"/>
          <w:lang w:val="uz-Cyrl-UZ"/>
        </w:rPr>
        <w:t>financial account balance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was </w:t>
      </w:r>
      <w:r w:rsidR="00712363" w:rsidRPr="00483F44">
        <w:rPr>
          <w:rFonts w:ascii="Arial" w:hAnsi="Arial" w:cs="Arial"/>
          <w:sz w:val="28"/>
          <w:szCs w:val="26"/>
          <w:lang w:val="en-US"/>
        </w:rPr>
        <w:t>negative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and accounted for 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USD </w:t>
      </w:r>
      <w:r w:rsidR="00EC6CE7">
        <w:rPr>
          <w:rFonts w:ascii="Arial" w:hAnsi="Arial" w:cs="Arial"/>
          <w:sz w:val="28"/>
          <w:szCs w:val="26"/>
          <w:lang w:val="en-US"/>
        </w:rPr>
        <w:t>3</w:t>
      </w:r>
      <w:r w:rsidR="00572F74" w:rsidRPr="00483F44">
        <w:rPr>
          <w:rFonts w:ascii="Arial" w:hAnsi="Arial" w:cs="Arial"/>
          <w:sz w:val="28"/>
          <w:szCs w:val="26"/>
          <w:lang w:val="uz-Cyrl-UZ"/>
        </w:rPr>
        <w:t>.</w:t>
      </w:r>
      <w:r w:rsidRPr="00483F44">
        <w:rPr>
          <w:rFonts w:ascii="Arial" w:hAnsi="Arial" w:cs="Arial"/>
          <w:sz w:val="28"/>
          <w:szCs w:val="26"/>
          <w:lang w:val="en-US"/>
        </w:rPr>
        <w:t>3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(negative balance of USD </w:t>
      </w:r>
      <w:r w:rsidR="00EC6CE7">
        <w:rPr>
          <w:rFonts w:ascii="Arial" w:hAnsi="Arial" w:cs="Arial"/>
          <w:i/>
          <w:sz w:val="28"/>
          <w:szCs w:val="26"/>
          <w:lang w:val="uz-Cyrl-UZ"/>
        </w:rPr>
        <w:t>709</w:t>
      </w:r>
      <w:r w:rsidR="00572F74" w:rsidRPr="00483F44">
        <w:rPr>
          <w:rFonts w:ascii="Arial" w:hAnsi="Arial" w:cs="Arial"/>
          <w:i/>
          <w:sz w:val="28"/>
          <w:szCs w:val="26"/>
          <w:lang w:val="uz-Cyrl-UZ"/>
        </w:rPr>
        <w:t>.</w:t>
      </w:r>
      <w:r w:rsidR="00EC6CE7">
        <w:rPr>
          <w:rFonts w:ascii="Arial" w:hAnsi="Arial" w:cs="Arial"/>
          <w:i/>
          <w:sz w:val="28"/>
          <w:szCs w:val="26"/>
          <w:lang w:val="en-US"/>
        </w:rPr>
        <w:t>3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proofErr w:type="spellStart"/>
      <w:r w:rsidRPr="00483F44">
        <w:rPr>
          <w:rFonts w:ascii="Arial" w:hAnsi="Arial" w:cs="Arial"/>
          <w:i/>
          <w:sz w:val="28"/>
          <w:szCs w:val="26"/>
          <w:lang w:val="en-US"/>
        </w:rPr>
        <w:t>m</w:t>
      </w:r>
      <w:r w:rsidR="00712363" w:rsidRPr="00483F44">
        <w:rPr>
          <w:rFonts w:ascii="Arial" w:hAnsi="Arial" w:cs="Arial"/>
          <w:i/>
          <w:sz w:val="28"/>
          <w:szCs w:val="26"/>
          <w:lang w:val="en-US"/>
        </w:rPr>
        <w:t>ln</w:t>
      </w:r>
      <w:proofErr w:type="spellEnd"/>
      <w:r w:rsidR="00712363"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r w:rsidRPr="00483F44">
        <w:rPr>
          <w:rFonts w:ascii="Arial" w:hAnsi="Arial" w:cs="Arial"/>
          <w:i/>
          <w:sz w:val="28"/>
          <w:szCs w:val="26"/>
          <w:lang w:val="uz-Cyrl-UZ"/>
        </w:rPr>
        <w:t xml:space="preserve">in </w:t>
      </w:r>
      <w:r w:rsidR="004334F7">
        <w:rPr>
          <w:rFonts w:ascii="Arial" w:hAnsi="Arial" w:cs="Arial"/>
          <w:i/>
          <w:sz w:val="28"/>
          <w:szCs w:val="26"/>
          <w:lang w:val="uz-Cyrl-UZ"/>
        </w:rPr>
        <w:t>the I half</w:t>
      </w:r>
      <w:r w:rsidRPr="00483F44">
        <w:rPr>
          <w:rFonts w:ascii="Arial" w:hAnsi="Arial" w:cs="Arial"/>
          <w:i/>
          <w:sz w:val="28"/>
          <w:szCs w:val="26"/>
          <w:lang w:val="uz-Cyrl-UZ"/>
        </w:rPr>
        <w:t xml:space="preserve"> of 2022</w:t>
      </w:r>
      <w:r w:rsidR="00712363" w:rsidRPr="00483F44">
        <w:rPr>
          <w:rFonts w:ascii="Arial" w:hAnsi="Arial" w:cs="Arial"/>
          <w:i/>
          <w:sz w:val="28"/>
          <w:szCs w:val="26"/>
          <w:lang w:val="uz-Cyrl-UZ"/>
        </w:rPr>
        <w:t>)</w:t>
      </w:r>
      <w:r w:rsidR="00572F74" w:rsidRPr="00483F44">
        <w:rPr>
          <w:rFonts w:ascii="Arial" w:hAnsi="Arial" w:cs="Arial"/>
          <w:sz w:val="28"/>
          <w:szCs w:val="26"/>
          <w:lang w:val="uz-Cyrl-UZ"/>
        </w:rPr>
        <w:t xml:space="preserve">. </w:t>
      </w:r>
    </w:p>
    <w:p w14:paraId="0ABAF2CC" w14:textId="27A2F0D5" w:rsidR="00EC6CE7" w:rsidRDefault="00EC6CE7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uz-Cyrl-UZ"/>
        </w:rPr>
        <w:t xml:space="preserve">Financial assets decreased by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Pr="00EC6CE7">
        <w:rPr>
          <w:rFonts w:ascii="Arial" w:hAnsi="Arial" w:cs="Arial"/>
          <w:sz w:val="28"/>
          <w:szCs w:val="26"/>
          <w:lang w:val="uz-Cyrl-UZ"/>
        </w:rPr>
        <w:t>792.6 m</w:t>
      </w:r>
      <w:r>
        <w:rPr>
          <w:rFonts w:ascii="Arial" w:hAnsi="Arial" w:cs="Arial"/>
          <w:sz w:val="28"/>
          <w:szCs w:val="26"/>
          <w:lang w:val="en-US"/>
        </w:rPr>
        <w:t>l</w:t>
      </w:r>
      <w:r w:rsidRPr="00EC6CE7">
        <w:rPr>
          <w:rFonts w:ascii="Arial" w:hAnsi="Arial" w:cs="Arial"/>
          <w:sz w:val="28"/>
          <w:szCs w:val="26"/>
          <w:lang w:val="uz-Cyrl-UZ"/>
        </w:rPr>
        <w:t>n</w:t>
      </w:r>
      <w:r>
        <w:rPr>
          <w:rFonts w:ascii="Arial" w:hAnsi="Arial" w:cs="Arial"/>
          <w:sz w:val="28"/>
          <w:szCs w:val="26"/>
          <w:lang w:val="en-US"/>
        </w:rPr>
        <w:t>.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, </w:t>
      </w:r>
      <w:r>
        <w:rPr>
          <w:rFonts w:ascii="Arial" w:hAnsi="Arial" w:cs="Arial"/>
          <w:sz w:val="28"/>
          <w:szCs w:val="26"/>
          <w:lang w:val="en-US"/>
        </w:rPr>
        <w:t>in which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>operations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related to </w:t>
      </w:r>
      <w:r>
        <w:rPr>
          <w:rFonts w:ascii="Arial" w:hAnsi="Arial" w:cs="Arial"/>
          <w:sz w:val="28"/>
          <w:szCs w:val="26"/>
          <w:lang w:val="uz-Cyrl-UZ"/>
        </w:rPr>
        <w:t xml:space="preserve">other investments increased by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Pr="00EC6CE7">
        <w:rPr>
          <w:rFonts w:ascii="Arial" w:hAnsi="Arial" w:cs="Arial"/>
          <w:sz w:val="28"/>
          <w:szCs w:val="26"/>
          <w:lang w:val="uz-Cyrl-UZ"/>
        </w:rPr>
        <w:t>1.2 bln</w:t>
      </w:r>
      <w:r>
        <w:rPr>
          <w:rFonts w:ascii="Arial" w:hAnsi="Arial" w:cs="Arial"/>
          <w:sz w:val="28"/>
          <w:szCs w:val="26"/>
          <w:lang w:val="en-US"/>
        </w:rPr>
        <w:t>.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, </w:t>
      </w:r>
      <w:r w:rsidR="00781726">
        <w:rPr>
          <w:rFonts w:ascii="Arial" w:hAnsi="Arial" w:cs="Arial"/>
          <w:sz w:val="28"/>
          <w:szCs w:val="26"/>
          <w:lang w:val="en-US"/>
        </w:rPr>
        <w:t>while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>operations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related to internation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al reserve assets decreased by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2 </w:t>
      </w:r>
      <w:proofErr w:type="spellStart"/>
      <w:r w:rsidR="00041713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EC6CE7">
        <w:rPr>
          <w:rFonts w:ascii="Arial" w:hAnsi="Arial" w:cs="Arial"/>
          <w:sz w:val="28"/>
          <w:szCs w:val="26"/>
          <w:lang w:val="uz-Cyrl-UZ"/>
        </w:rPr>
        <w:t>.</w:t>
      </w:r>
    </w:p>
    <w:p w14:paraId="551583FD" w14:textId="7B5176C5" w:rsidR="00041713" w:rsidRDefault="00305DC8" w:rsidP="00041713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en-US"/>
        </w:rPr>
        <w:t>O</w:t>
      </w:r>
      <w:r w:rsidR="00041713">
        <w:rPr>
          <w:rFonts w:ascii="Arial" w:hAnsi="Arial" w:cs="Arial"/>
          <w:sz w:val="28"/>
          <w:szCs w:val="26"/>
          <w:lang w:val="en-US"/>
        </w:rPr>
        <w:t>perations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 on financial liabilities amounted to</w:t>
      </w:r>
      <w:r>
        <w:rPr>
          <w:rFonts w:ascii="Arial" w:hAnsi="Arial" w:cs="Arial"/>
          <w:sz w:val="28"/>
          <w:szCs w:val="26"/>
          <w:lang w:val="en-US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>2.5 bl</w:t>
      </w:r>
      <w:r w:rsidR="00041713">
        <w:rPr>
          <w:rFonts w:ascii="Arial" w:hAnsi="Arial" w:cs="Arial"/>
          <w:sz w:val="28"/>
          <w:szCs w:val="26"/>
          <w:lang w:val="en-US"/>
        </w:rPr>
        <w:t>n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, in which 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direct and 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other investments </w:t>
      </w:r>
      <w:r>
        <w:rPr>
          <w:rFonts w:ascii="Arial" w:hAnsi="Arial" w:cs="Arial"/>
          <w:sz w:val="28"/>
          <w:szCs w:val="26"/>
          <w:lang w:val="en-US"/>
        </w:rPr>
        <w:t>accounted for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952 </w:t>
      </w:r>
      <w:r w:rsidR="00041713">
        <w:rPr>
          <w:rFonts w:ascii="Arial" w:hAnsi="Arial" w:cs="Arial"/>
          <w:sz w:val="28"/>
          <w:szCs w:val="26"/>
          <w:lang w:val="en-US"/>
        </w:rPr>
        <w:t>m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ln. and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1.5 </w:t>
      </w:r>
      <w:proofErr w:type="spellStart"/>
      <w:r w:rsidR="00041713">
        <w:rPr>
          <w:rFonts w:ascii="Arial" w:hAnsi="Arial" w:cs="Arial"/>
          <w:sz w:val="28"/>
          <w:szCs w:val="26"/>
          <w:lang w:val="en-US"/>
        </w:rPr>
        <w:t>bl</w:t>
      </w:r>
      <w:proofErr w:type="spellEnd"/>
      <w:r w:rsidR="00041713" w:rsidRPr="00041713">
        <w:rPr>
          <w:rFonts w:ascii="Arial" w:hAnsi="Arial" w:cs="Arial"/>
          <w:sz w:val="28"/>
          <w:szCs w:val="26"/>
          <w:lang w:val="uz-Cyrl-UZ"/>
        </w:rPr>
        <w:t>n</w:t>
      </w:r>
      <w:r w:rsidR="00041713">
        <w:rPr>
          <w:rFonts w:ascii="Arial" w:hAnsi="Arial" w:cs="Arial"/>
          <w:sz w:val="28"/>
          <w:szCs w:val="26"/>
          <w:lang w:val="en-US"/>
        </w:rPr>
        <w:t>.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>, respectively.</w:t>
      </w:r>
    </w:p>
    <w:p w14:paraId="7CC8D7F2" w14:textId="75F0E056" w:rsidR="00041713" w:rsidRDefault="00041713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 w:rsidRPr="00041713">
        <w:rPr>
          <w:rFonts w:ascii="Arial" w:hAnsi="Arial" w:cs="Arial"/>
          <w:sz w:val="28"/>
          <w:szCs w:val="26"/>
          <w:lang w:val="uz-Cyrl-UZ"/>
        </w:rPr>
        <w:t>During the reporting period, the net increa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se in foreign direct investment </w:t>
      </w:r>
      <w:r w:rsidRPr="00041713">
        <w:rPr>
          <w:rFonts w:ascii="Arial" w:hAnsi="Arial" w:cs="Arial"/>
          <w:sz w:val="28"/>
          <w:szCs w:val="26"/>
          <w:lang w:val="uz-Cyrl-UZ"/>
        </w:rPr>
        <w:t>in</w:t>
      </w:r>
      <w:r w:rsidR="00305DC8">
        <w:rPr>
          <w:rFonts w:ascii="Arial" w:hAnsi="Arial" w:cs="Arial"/>
          <w:sz w:val="28"/>
          <w:szCs w:val="26"/>
          <w:lang w:val="en-US"/>
        </w:rPr>
        <w:t>to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share 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capital 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amounted to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454.6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 w:rsidRPr="00041713">
        <w:rPr>
          <w:rFonts w:ascii="Arial" w:hAnsi="Arial" w:cs="Arial"/>
          <w:i/>
          <w:sz w:val="28"/>
          <w:szCs w:val="26"/>
          <w:lang w:val="uz-Cyrl-UZ"/>
        </w:rPr>
        <w:t>(</w:t>
      </w:r>
      <w:r w:rsidR="00305DC8" w:rsidRPr="00041713">
        <w:rPr>
          <w:rFonts w:ascii="Arial" w:hAnsi="Arial" w:cs="Arial"/>
          <w:i/>
          <w:sz w:val="28"/>
          <w:szCs w:val="26"/>
          <w:lang w:val="en-US"/>
        </w:rPr>
        <w:t xml:space="preserve">USD </w:t>
      </w:r>
      <w:r w:rsidR="00305DC8" w:rsidRPr="00041713">
        <w:rPr>
          <w:rFonts w:ascii="Arial" w:hAnsi="Arial" w:cs="Arial"/>
          <w:i/>
          <w:sz w:val="28"/>
          <w:szCs w:val="26"/>
          <w:lang w:val="uz-Cyrl-UZ"/>
        </w:rPr>
        <w:t xml:space="preserve">369.2 </w:t>
      </w:r>
      <w:proofErr w:type="spellStart"/>
      <w:r w:rsidR="00305DC8" w:rsidRPr="00041713">
        <w:rPr>
          <w:rFonts w:ascii="Arial" w:hAnsi="Arial" w:cs="Arial"/>
          <w:i/>
          <w:sz w:val="28"/>
          <w:szCs w:val="26"/>
          <w:lang w:val="en-US"/>
        </w:rPr>
        <w:t>mln</w:t>
      </w:r>
      <w:proofErr w:type="spellEnd"/>
      <w:r w:rsidR="00305DC8" w:rsidRPr="00041713">
        <w:rPr>
          <w:rFonts w:ascii="Arial" w:hAnsi="Arial" w:cs="Arial"/>
          <w:i/>
          <w:sz w:val="28"/>
          <w:szCs w:val="26"/>
          <w:lang w:val="en-US"/>
        </w:rPr>
        <w:t>.</w:t>
      </w:r>
      <w:r w:rsidR="00305DC8">
        <w:rPr>
          <w:rFonts w:ascii="Arial" w:hAnsi="Arial" w:cs="Arial"/>
          <w:i/>
          <w:sz w:val="28"/>
          <w:szCs w:val="26"/>
          <w:lang w:val="en-US"/>
        </w:rPr>
        <w:t xml:space="preserve"> </w:t>
      </w:r>
      <w:r w:rsidR="00305DC8" w:rsidRPr="00041713">
        <w:rPr>
          <w:rFonts w:ascii="Arial" w:hAnsi="Arial" w:cs="Arial"/>
          <w:i/>
          <w:sz w:val="28"/>
          <w:szCs w:val="26"/>
          <w:lang w:val="uz-Cyrl-UZ"/>
        </w:rPr>
        <w:t xml:space="preserve">in the </w:t>
      </w:r>
      <w:r w:rsidR="00305DC8" w:rsidRPr="00041713">
        <w:rPr>
          <w:rFonts w:ascii="Arial" w:hAnsi="Arial" w:cs="Arial"/>
          <w:i/>
          <w:sz w:val="28"/>
          <w:szCs w:val="26"/>
          <w:lang w:val="en-US"/>
        </w:rPr>
        <w:t>I</w:t>
      </w:r>
      <w:r w:rsidR="00305DC8" w:rsidRPr="00041713">
        <w:rPr>
          <w:rFonts w:ascii="Arial" w:hAnsi="Arial" w:cs="Arial"/>
          <w:i/>
          <w:sz w:val="28"/>
          <w:szCs w:val="26"/>
          <w:lang w:val="uz-Cyrl-UZ"/>
        </w:rPr>
        <w:t xml:space="preserve"> half </w:t>
      </w:r>
      <w:r w:rsidR="00305DC8">
        <w:rPr>
          <w:rFonts w:ascii="Arial" w:hAnsi="Arial" w:cs="Arial"/>
          <w:i/>
          <w:sz w:val="28"/>
          <w:szCs w:val="26"/>
          <w:lang w:val="uz-Cyrl-UZ"/>
        </w:rPr>
        <w:br/>
      </w:r>
      <w:r w:rsidR="00305DC8" w:rsidRPr="00041713">
        <w:rPr>
          <w:rFonts w:ascii="Arial" w:hAnsi="Arial" w:cs="Arial"/>
          <w:i/>
          <w:sz w:val="28"/>
          <w:szCs w:val="26"/>
          <w:lang w:val="uz-Cyrl-UZ"/>
        </w:rPr>
        <w:t>of 2022, respectively)</w:t>
      </w:r>
      <w:r w:rsidR="00305DC8" w:rsidRPr="00305DC8">
        <w:rPr>
          <w:rFonts w:ascii="Arial" w:hAnsi="Arial" w:cs="Arial"/>
          <w:sz w:val="28"/>
          <w:szCs w:val="26"/>
          <w:lang w:val="en-US"/>
        </w:rPr>
        <w:t>,</w:t>
      </w:r>
      <w:r w:rsidR="00305DC8">
        <w:rPr>
          <w:rFonts w:ascii="Arial" w:hAnsi="Arial" w:cs="Arial"/>
          <w:i/>
          <w:sz w:val="28"/>
          <w:szCs w:val="26"/>
          <w:lang w:val="en-US"/>
        </w:rPr>
        <w:t xml:space="preserve"> </w:t>
      </w:r>
      <w:r w:rsidR="00305DC8" w:rsidRPr="00305DC8">
        <w:rPr>
          <w:rFonts w:ascii="Arial" w:hAnsi="Arial" w:cs="Arial"/>
          <w:sz w:val="28"/>
          <w:szCs w:val="26"/>
          <w:lang w:val="en-US"/>
        </w:rPr>
        <w:t>whereas</w:t>
      </w:r>
      <w:r w:rsidR="00305DC8" w:rsidRPr="00305DC8"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 w:rsidRPr="00041713">
        <w:rPr>
          <w:rFonts w:ascii="Arial" w:hAnsi="Arial" w:cs="Arial"/>
          <w:sz w:val="28"/>
          <w:szCs w:val="26"/>
          <w:lang w:val="uz-Cyrl-UZ"/>
        </w:rPr>
        <w:t>the net increa</w:t>
      </w:r>
      <w:r w:rsidR="00305DC8">
        <w:rPr>
          <w:rFonts w:ascii="Arial" w:hAnsi="Arial" w:cs="Arial"/>
          <w:sz w:val="28"/>
          <w:szCs w:val="26"/>
          <w:lang w:val="uz-Cyrl-UZ"/>
        </w:rPr>
        <w:t>se in</w:t>
      </w:r>
      <w:r w:rsidR="00305DC8">
        <w:rPr>
          <w:rFonts w:ascii="Arial" w:hAnsi="Arial" w:cs="Arial"/>
          <w:i/>
          <w:sz w:val="28"/>
          <w:szCs w:val="26"/>
          <w:lang w:val="en-US"/>
        </w:rPr>
        <w:t xml:space="preserve"> </w:t>
      </w:r>
      <w:r w:rsidR="00305DC8" w:rsidRPr="00041713">
        <w:rPr>
          <w:rFonts w:ascii="Arial" w:hAnsi="Arial" w:cs="Arial"/>
          <w:sz w:val="28"/>
          <w:szCs w:val="26"/>
          <w:lang w:val="uz-Cyrl-UZ"/>
        </w:rPr>
        <w:t>loans attracted fro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m parent companies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accounted for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275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>
        <w:rPr>
          <w:rFonts w:ascii="Arial" w:hAnsi="Arial" w:cs="Arial"/>
          <w:sz w:val="28"/>
          <w:szCs w:val="26"/>
          <w:lang w:val="en-US"/>
        </w:rPr>
        <w:t>.</w:t>
      </w:r>
      <w:r w:rsidR="00305DC8">
        <w:rPr>
          <w:rFonts w:ascii="Arial" w:hAnsi="Arial" w:cs="Arial"/>
          <w:sz w:val="28"/>
          <w:szCs w:val="26"/>
          <w:lang w:val="en-US"/>
        </w:rPr>
        <w:t xml:space="preserve"> </w:t>
      </w:r>
      <w:r w:rsidRPr="00041713">
        <w:rPr>
          <w:rFonts w:ascii="Arial" w:hAnsi="Arial" w:cs="Arial"/>
          <w:i/>
          <w:sz w:val="28"/>
          <w:szCs w:val="26"/>
          <w:lang w:val="uz-Cyrl-UZ"/>
        </w:rPr>
        <w:t>(</w:t>
      </w:r>
      <w:r w:rsidRPr="00041713">
        <w:rPr>
          <w:rFonts w:ascii="Arial" w:hAnsi="Arial" w:cs="Arial"/>
          <w:i/>
          <w:sz w:val="28"/>
          <w:szCs w:val="26"/>
          <w:lang w:val="en-US"/>
        </w:rPr>
        <w:t xml:space="preserve">USD </w:t>
      </w:r>
      <w:r w:rsidRPr="00041713">
        <w:rPr>
          <w:rFonts w:ascii="Arial" w:hAnsi="Arial" w:cs="Arial"/>
          <w:i/>
          <w:sz w:val="28"/>
          <w:szCs w:val="26"/>
          <w:lang w:val="uz-Cyrl-UZ"/>
        </w:rPr>
        <w:t xml:space="preserve">492.2 </w:t>
      </w:r>
      <w:proofErr w:type="spellStart"/>
      <w:r w:rsidRPr="00041713">
        <w:rPr>
          <w:rFonts w:ascii="Arial" w:hAnsi="Arial" w:cs="Arial"/>
          <w:i/>
          <w:sz w:val="28"/>
          <w:szCs w:val="26"/>
          <w:lang w:val="en-US"/>
        </w:rPr>
        <w:t>mln</w:t>
      </w:r>
      <w:proofErr w:type="spellEnd"/>
      <w:r w:rsidRPr="00041713">
        <w:rPr>
          <w:rFonts w:ascii="Arial" w:hAnsi="Arial" w:cs="Arial"/>
          <w:i/>
          <w:sz w:val="28"/>
          <w:szCs w:val="26"/>
          <w:lang w:val="en-US"/>
        </w:rPr>
        <w:t xml:space="preserve">. </w:t>
      </w:r>
      <w:r w:rsidRPr="00041713">
        <w:rPr>
          <w:rFonts w:ascii="Arial" w:hAnsi="Arial" w:cs="Arial"/>
          <w:i/>
          <w:sz w:val="28"/>
          <w:szCs w:val="26"/>
          <w:lang w:val="uz-Cyrl-UZ"/>
        </w:rPr>
        <w:t xml:space="preserve">in the </w:t>
      </w:r>
      <w:r w:rsidRPr="00041713">
        <w:rPr>
          <w:rFonts w:ascii="Arial" w:hAnsi="Arial" w:cs="Arial"/>
          <w:i/>
          <w:sz w:val="28"/>
          <w:szCs w:val="26"/>
          <w:lang w:val="en-US"/>
        </w:rPr>
        <w:t>I</w:t>
      </w:r>
      <w:r w:rsidR="00305DC8">
        <w:rPr>
          <w:rFonts w:ascii="Arial" w:hAnsi="Arial" w:cs="Arial"/>
          <w:i/>
          <w:sz w:val="28"/>
          <w:szCs w:val="26"/>
          <w:lang w:val="uz-Cyrl-UZ"/>
        </w:rPr>
        <w:t xml:space="preserve"> half of 2022</w:t>
      </w:r>
      <w:r w:rsidRPr="00041713">
        <w:rPr>
          <w:rFonts w:ascii="Arial" w:hAnsi="Arial" w:cs="Arial"/>
          <w:i/>
          <w:sz w:val="28"/>
          <w:szCs w:val="26"/>
          <w:lang w:val="uz-Cyrl-UZ"/>
        </w:rPr>
        <w:t>)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. The net decrease in investment </w:t>
      </w:r>
      <w:r w:rsidRPr="00483F44">
        <w:rPr>
          <w:rFonts w:ascii="Arial" w:hAnsi="Arial" w:cs="Arial"/>
          <w:sz w:val="28"/>
          <w:szCs w:val="26"/>
          <w:lang w:val="uz-Cyrl-UZ"/>
        </w:rPr>
        <w:t>by enterprises operating on the basis of product sharing agreements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(PSA) </w:t>
      </w:r>
      <w:bookmarkStart w:id="0" w:name="_GoBack"/>
      <w:bookmarkEnd w:id="0"/>
      <w:r w:rsidR="00540BDF">
        <w:rPr>
          <w:rFonts w:ascii="Arial" w:hAnsi="Arial" w:cs="Arial"/>
          <w:sz w:val="28"/>
          <w:szCs w:val="26"/>
          <w:lang w:val="uz-Cyrl-UZ"/>
        </w:rPr>
        <w:t xml:space="preserve">amounted to </w:t>
      </w:r>
      <w:r w:rsidR="00540BDF">
        <w:rPr>
          <w:rFonts w:ascii="Arial" w:hAnsi="Arial" w:cs="Arial"/>
          <w:sz w:val="28"/>
          <w:szCs w:val="26"/>
          <w:lang w:val="en-US"/>
        </w:rPr>
        <w:t xml:space="preserve">USD 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163.3 </w:t>
      </w:r>
      <w:proofErr w:type="spellStart"/>
      <w:r w:rsidR="00540BDF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Pr="00041713">
        <w:rPr>
          <w:rFonts w:ascii="Arial" w:hAnsi="Arial" w:cs="Arial"/>
          <w:sz w:val="28"/>
          <w:szCs w:val="26"/>
          <w:lang w:val="uz-Cyrl-UZ"/>
        </w:rPr>
        <w:t>.</w:t>
      </w:r>
    </w:p>
    <w:p w14:paraId="13D8A538" w14:textId="2A087DB4" w:rsidR="00712363" w:rsidRPr="00483F44" w:rsidRDefault="00712363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483F44">
        <w:rPr>
          <w:rFonts w:ascii="Arial" w:hAnsi="Arial" w:cs="Arial"/>
          <w:sz w:val="28"/>
          <w:szCs w:val="26"/>
          <w:lang w:val="en-US"/>
        </w:rPr>
        <w:t xml:space="preserve">The negative balance of portfolio investments accounted for </w:t>
      </w:r>
      <w:r w:rsidR="009A60E3">
        <w:rPr>
          <w:rFonts w:ascii="Arial" w:hAnsi="Arial" w:cs="Arial"/>
          <w:sz w:val="28"/>
          <w:szCs w:val="26"/>
          <w:lang w:val="en-US"/>
        </w:rPr>
        <w:br/>
      </w:r>
      <w:r w:rsidRPr="00483F44">
        <w:rPr>
          <w:rFonts w:ascii="Arial" w:hAnsi="Arial" w:cs="Arial"/>
          <w:sz w:val="28"/>
          <w:szCs w:val="26"/>
          <w:lang w:val="en-US"/>
        </w:rPr>
        <w:t xml:space="preserve">USD </w:t>
      </w:r>
      <w:r w:rsidR="00E440F0" w:rsidRPr="00483F44">
        <w:rPr>
          <w:rFonts w:ascii="Arial" w:hAnsi="Arial" w:cs="Arial"/>
          <w:sz w:val="28"/>
          <w:szCs w:val="26"/>
          <w:lang w:val="en-US"/>
        </w:rPr>
        <w:t>3</w:t>
      </w:r>
      <w:r w:rsid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="00483F44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="00483F44">
        <w:rPr>
          <w:rFonts w:ascii="Arial" w:hAnsi="Arial" w:cs="Arial"/>
          <w:sz w:val="28"/>
          <w:szCs w:val="26"/>
          <w:lang w:val="en-US"/>
        </w:rPr>
        <w:t xml:space="preserve">. 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in </w:t>
      </w:r>
      <w:r w:rsidR="004334F7">
        <w:rPr>
          <w:rFonts w:ascii="Arial" w:hAnsi="Arial" w:cs="Arial"/>
          <w:sz w:val="28"/>
          <w:szCs w:val="26"/>
          <w:lang w:val="en-US"/>
        </w:rPr>
        <w:t>the I half</w:t>
      </w:r>
      <w:r w:rsidR="00E440F0" w:rsidRPr="00483F44">
        <w:rPr>
          <w:rFonts w:ascii="Arial" w:hAnsi="Arial" w:cs="Arial"/>
          <w:sz w:val="28"/>
          <w:szCs w:val="26"/>
          <w:lang w:val="en-US"/>
        </w:rPr>
        <w:t xml:space="preserve"> of 2023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676BB850" w14:textId="7DEC9B9A" w:rsidR="00BE50C4" w:rsidRDefault="00712363" w:rsidP="00483F44">
      <w:pPr>
        <w:spacing w:after="200" w:line="288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483F44">
        <w:rPr>
          <w:rFonts w:ascii="Arial" w:hAnsi="Arial" w:cs="Arial"/>
          <w:sz w:val="28"/>
          <w:szCs w:val="26"/>
          <w:lang w:val="uz-Cyrl-UZ"/>
        </w:rPr>
        <w:t xml:space="preserve">The </w:t>
      </w:r>
      <w:r w:rsidRPr="00483F44">
        <w:rPr>
          <w:rFonts w:ascii="Arial" w:hAnsi="Arial" w:cs="Arial"/>
          <w:b/>
          <w:sz w:val="28"/>
          <w:szCs w:val="26"/>
          <w:lang w:val="uz-Cyrl-UZ"/>
        </w:rPr>
        <w:t>net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Pr="00483F44">
        <w:rPr>
          <w:rFonts w:ascii="Arial" w:hAnsi="Arial" w:cs="Arial"/>
          <w:b/>
          <w:sz w:val="28"/>
          <w:szCs w:val="26"/>
          <w:lang w:val="uz-Cyrl-UZ"/>
        </w:rPr>
        <w:t>international investment positio</w:t>
      </w:r>
      <w:r w:rsidR="00604BA9" w:rsidRPr="00483F44">
        <w:rPr>
          <w:rFonts w:ascii="Arial" w:hAnsi="Arial" w:cs="Arial"/>
          <w:b/>
          <w:sz w:val="28"/>
          <w:szCs w:val="26"/>
          <w:lang w:val="uz-Cyrl-UZ"/>
        </w:rPr>
        <w:t>n</w:t>
      </w:r>
      <w:r w:rsidR="00604BA9" w:rsidRPr="00483F44">
        <w:rPr>
          <w:rFonts w:ascii="Arial" w:hAnsi="Arial" w:cs="Arial"/>
          <w:sz w:val="28"/>
          <w:szCs w:val="26"/>
          <w:lang w:val="uz-Cyrl-UZ"/>
        </w:rPr>
        <w:t xml:space="preserve"> of Uzbekistan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540BDF">
        <w:rPr>
          <w:rFonts w:ascii="Arial" w:hAnsi="Arial" w:cs="Arial"/>
          <w:sz w:val="28"/>
          <w:szCs w:val="26"/>
          <w:lang w:val="en-US"/>
        </w:rPr>
        <w:t>reduced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by 1</w:t>
      </w:r>
      <w:r w:rsidR="00540BDF">
        <w:rPr>
          <w:rFonts w:ascii="Arial" w:hAnsi="Arial" w:cs="Arial"/>
          <w:sz w:val="28"/>
          <w:szCs w:val="26"/>
          <w:lang w:val="en-US"/>
        </w:rPr>
        <w:t>5</w:t>
      </w:r>
      <w:r w:rsidR="00483F44">
        <w:rPr>
          <w:rFonts w:ascii="Arial" w:hAnsi="Arial" w:cs="Arial"/>
          <w:sz w:val="28"/>
          <w:szCs w:val="26"/>
          <w:lang w:val="uz-Cyrl-UZ"/>
        </w:rPr>
        <w:t xml:space="preserve">% </w:t>
      </w:r>
      <w:r w:rsidR="00E440F0" w:rsidRPr="00483F44">
        <w:rPr>
          <w:rFonts w:ascii="Arial" w:hAnsi="Arial" w:cs="Arial"/>
          <w:i/>
          <w:sz w:val="28"/>
          <w:szCs w:val="26"/>
          <w:lang w:val="uz-Cyrl-UZ"/>
        </w:rPr>
        <w:t>(</w:t>
      </w:r>
      <w:r w:rsidR="001A7B82">
        <w:rPr>
          <w:rFonts w:ascii="Arial" w:hAnsi="Arial" w:cs="Arial"/>
          <w:i/>
          <w:sz w:val="28"/>
          <w:szCs w:val="26"/>
          <w:lang w:val="en-US"/>
        </w:rPr>
        <w:t xml:space="preserve">or </w:t>
      </w:r>
      <w:r w:rsidR="00E440F0" w:rsidRPr="00483F44">
        <w:rPr>
          <w:rFonts w:ascii="Arial" w:hAnsi="Arial" w:cs="Arial"/>
          <w:i/>
          <w:sz w:val="28"/>
          <w:szCs w:val="26"/>
          <w:lang w:val="uz-Cyrl-UZ"/>
        </w:rPr>
        <w:t xml:space="preserve">USD </w:t>
      </w:r>
      <w:r w:rsidR="00540BDF">
        <w:rPr>
          <w:rFonts w:ascii="Arial" w:hAnsi="Arial" w:cs="Arial"/>
          <w:i/>
          <w:sz w:val="28"/>
          <w:szCs w:val="26"/>
          <w:lang w:val="en-US"/>
        </w:rPr>
        <w:t>2</w:t>
      </w:r>
      <w:r w:rsidR="00572F74"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="00540BDF">
        <w:rPr>
          <w:rFonts w:ascii="Arial" w:hAnsi="Arial" w:cs="Arial"/>
          <w:i/>
          <w:sz w:val="28"/>
          <w:szCs w:val="26"/>
          <w:lang w:val="en-US"/>
        </w:rPr>
        <w:t>8</w:t>
      </w:r>
      <w:r w:rsidRPr="00483F44">
        <w:rPr>
          <w:rFonts w:ascii="Arial" w:hAnsi="Arial" w:cs="Arial"/>
          <w:i/>
          <w:sz w:val="28"/>
          <w:szCs w:val="26"/>
          <w:lang w:val="uz-Cyrl-UZ"/>
        </w:rPr>
        <w:t xml:space="preserve"> </w:t>
      </w:r>
      <w:proofErr w:type="spellStart"/>
      <w:r w:rsidR="00540BDF">
        <w:rPr>
          <w:rFonts w:ascii="Arial" w:hAnsi="Arial" w:cs="Arial"/>
          <w:i/>
          <w:sz w:val="28"/>
          <w:szCs w:val="26"/>
          <w:lang w:val="en-US"/>
        </w:rPr>
        <w:t>bln</w:t>
      </w:r>
      <w:proofErr w:type="spellEnd"/>
      <w:r w:rsidR="00604BA9" w:rsidRPr="00483F44">
        <w:rPr>
          <w:rFonts w:ascii="Arial" w:hAnsi="Arial" w:cs="Arial"/>
          <w:i/>
          <w:sz w:val="28"/>
          <w:szCs w:val="26"/>
          <w:lang w:val="en-US"/>
        </w:rPr>
        <w:t>.</w:t>
      </w:r>
      <w:r w:rsidRPr="00483F44">
        <w:rPr>
          <w:rFonts w:ascii="Arial" w:hAnsi="Arial" w:cs="Arial"/>
          <w:i/>
          <w:sz w:val="28"/>
          <w:szCs w:val="26"/>
          <w:lang w:val="uz-Cyrl-UZ"/>
        </w:rPr>
        <w:t>)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compared to the beginning of </w:t>
      </w:r>
      <w:r w:rsidR="00E440F0" w:rsidRPr="00483F44">
        <w:rPr>
          <w:rFonts w:ascii="Arial" w:hAnsi="Arial" w:cs="Arial"/>
          <w:sz w:val="28"/>
          <w:szCs w:val="26"/>
          <w:lang w:val="en-US"/>
        </w:rPr>
        <w:t>2023</w:t>
      </w:r>
      <w:r w:rsidR="00604BA9" w:rsidRPr="00483F44">
        <w:rPr>
          <w:rFonts w:ascii="Arial" w:hAnsi="Arial" w:cs="Arial"/>
          <w:sz w:val="28"/>
          <w:szCs w:val="26"/>
          <w:lang w:val="uz-Cyrl-UZ"/>
        </w:rPr>
        <w:t xml:space="preserve"> and as of </w:t>
      </w:r>
      <w:r w:rsidR="00540BDF">
        <w:rPr>
          <w:rFonts w:ascii="Arial" w:hAnsi="Arial" w:cs="Arial"/>
          <w:sz w:val="28"/>
          <w:szCs w:val="26"/>
          <w:lang w:val="en-US"/>
        </w:rPr>
        <w:t>July</w:t>
      </w:r>
      <w:r w:rsidR="00604BA9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r w:rsidR="00E440F0" w:rsidRPr="00483F44">
        <w:rPr>
          <w:rFonts w:ascii="Arial" w:hAnsi="Arial" w:cs="Arial"/>
          <w:sz w:val="28"/>
          <w:szCs w:val="26"/>
          <w:lang w:val="en-US"/>
        </w:rPr>
        <w:t>1</w:t>
      </w:r>
      <w:r w:rsidR="00604BA9"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r w:rsidR="00483F44">
        <w:rPr>
          <w:rFonts w:ascii="Arial" w:hAnsi="Arial" w:cs="Arial"/>
          <w:sz w:val="28"/>
          <w:szCs w:val="26"/>
          <w:lang w:val="en-US"/>
        </w:rPr>
        <w:br/>
      </w:r>
      <w:r w:rsidR="00604BA9" w:rsidRPr="00483F44">
        <w:rPr>
          <w:rFonts w:ascii="Arial" w:hAnsi="Arial" w:cs="Arial"/>
          <w:sz w:val="28"/>
          <w:szCs w:val="26"/>
          <w:lang w:val="en-US"/>
        </w:rPr>
        <w:t>of 2023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accounted for USD </w:t>
      </w:r>
      <w:r w:rsidR="00540BDF">
        <w:rPr>
          <w:rFonts w:ascii="Arial" w:hAnsi="Arial" w:cs="Arial"/>
          <w:sz w:val="28"/>
          <w:szCs w:val="26"/>
          <w:lang w:val="en-US"/>
        </w:rPr>
        <w:t>16.2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uz-Cyrl-UZ"/>
        </w:rPr>
        <w:t xml:space="preserve">. The total volumes of assets in the foreign currency and external liabilities of </w:t>
      </w:r>
      <w:r w:rsidR="00604BA9" w:rsidRPr="00483F44">
        <w:rPr>
          <w:rFonts w:ascii="Arial" w:hAnsi="Arial" w:cs="Arial"/>
          <w:sz w:val="28"/>
          <w:szCs w:val="26"/>
          <w:lang w:val="en-US"/>
        </w:rPr>
        <w:t>residents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were</w:t>
      </w:r>
      <w:r w:rsidR="00540BDF">
        <w:rPr>
          <w:rFonts w:ascii="Arial" w:hAnsi="Arial" w:cs="Arial"/>
          <w:sz w:val="28"/>
          <w:szCs w:val="26"/>
          <w:lang w:val="uz-Cyrl-UZ"/>
        </w:rPr>
        <w:t xml:space="preserve"> equal to USD 81</w:t>
      </w:r>
      <w:r w:rsidR="00572F74" w:rsidRPr="00483F44">
        <w:rPr>
          <w:rFonts w:ascii="Arial" w:hAnsi="Arial" w:cs="Arial"/>
          <w:sz w:val="28"/>
          <w:szCs w:val="26"/>
          <w:lang w:val="en-US"/>
        </w:rPr>
        <w:t>.</w:t>
      </w:r>
      <w:r w:rsidR="00540BDF">
        <w:rPr>
          <w:rFonts w:ascii="Arial" w:hAnsi="Arial" w:cs="Arial"/>
          <w:sz w:val="28"/>
          <w:szCs w:val="26"/>
          <w:lang w:val="en-US"/>
        </w:rPr>
        <w:t>4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604BA9" w:rsidRPr="00483F44">
        <w:rPr>
          <w:rFonts w:ascii="Arial" w:hAnsi="Arial" w:cs="Arial"/>
          <w:sz w:val="28"/>
          <w:szCs w:val="26"/>
          <w:lang w:val="en-US"/>
        </w:rPr>
        <w:t>.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and </w:t>
      </w:r>
      <w:r w:rsidR="00E440F0" w:rsidRPr="00483F44">
        <w:rPr>
          <w:rFonts w:ascii="Arial" w:hAnsi="Arial" w:cs="Arial"/>
          <w:sz w:val="28"/>
          <w:szCs w:val="26"/>
          <w:lang w:val="en-US"/>
        </w:rPr>
        <w:t xml:space="preserve">USD </w:t>
      </w:r>
      <w:r w:rsidR="00540BDF">
        <w:rPr>
          <w:rFonts w:ascii="Arial" w:hAnsi="Arial" w:cs="Arial"/>
          <w:sz w:val="28"/>
          <w:szCs w:val="26"/>
          <w:lang w:val="uz-Cyrl-UZ"/>
        </w:rPr>
        <w:t>65</w:t>
      </w:r>
      <w:r w:rsidR="00572F74" w:rsidRPr="00483F44">
        <w:rPr>
          <w:rFonts w:ascii="Arial" w:hAnsi="Arial" w:cs="Arial"/>
          <w:sz w:val="28"/>
          <w:szCs w:val="26"/>
          <w:lang w:val="uz-Cyrl-UZ"/>
        </w:rPr>
        <w:t>.</w:t>
      </w:r>
      <w:r w:rsidR="00540BDF">
        <w:rPr>
          <w:rFonts w:ascii="Arial" w:hAnsi="Arial" w:cs="Arial"/>
          <w:sz w:val="28"/>
          <w:szCs w:val="26"/>
          <w:lang w:val="en-US"/>
        </w:rPr>
        <w:t>3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604BA9" w:rsidRPr="00483F44">
        <w:rPr>
          <w:rFonts w:ascii="Arial" w:hAnsi="Arial" w:cs="Arial"/>
          <w:sz w:val="28"/>
          <w:szCs w:val="26"/>
          <w:lang w:val="en-US"/>
        </w:rPr>
        <w:t>.</w:t>
      </w:r>
      <w:r w:rsidRPr="00483F44">
        <w:rPr>
          <w:rFonts w:ascii="Arial" w:hAnsi="Arial" w:cs="Arial"/>
          <w:sz w:val="28"/>
          <w:szCs w:val="26"/>
          <w:lang w:val="uz-Cyrl-UZ"/>
        </w:rPr>
        <w:t>, respectively.</w:t>
      </w:r>
    </w:p>
    <w:p w14:paraId="78E8D06D" w14:textId="12C96C87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455238D" w14:textId="7522C71C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23D7E7F" w14:textId="5995E12D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5EC6A8A" w14:textId="5C670C87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8587D51" w14:textId="2A43B8E1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031860AA" w14:textId="301E66FB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96174D7" w14:textId="2AC30982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75098DF" w14:textId="339D4108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AA7ADE4" w14:textId="47FF111C" w:rsidR="00453E0D" w:rsidRDefault="00453E0D" w:rsidP="00453E0D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1" w:name="_Toc130900972"/>
      <w:r>
        <w:rPr>
          <w:rFonts w:ascii="Arial" w:hAnsi="Arial" w:cs="Arial"/>
          <w:b/>
          <w:color w:val="6B8068"/>
          <w:sz w:val="28"/>
          <w:lang w:val="en-US"/>
        </w:rPr>
        <w:lastRenderedPageBreak/>
        <w:t>Addenda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en-US"/>
        </w:rPr>
        <w:t xml:space="preserve">Balance of payments for </w:t>
      </w:r>
      <w:r w:rsidR="004334F7">
        <w:rPr>
          <w:rFonts w:ascii="Arial" w:hAnsi="Arial" w:cs="Arial"/>
          <w:b/>
          <w:color w:val="000000" w:themeColor="text1"/>
          <w:sz w:val="28"/>
          <w:lang w:val="en-US"/>
        </w:rPr>
        <w:t>the I half</w:t>
      </w:r>
      <w:r w:rsidR="00375B53">
        <w:rPr>
          <w:rFonts w:ascii="Arial" w:hAnsi="Arial" w:cs="Arial"/>
          <w:b/>
          <w:color w:val="000000" w:themeColor="text1"/>
          <w:sz w:val="28"/>
          <w:lang w:val="en-US"/>
        </w:rPr>
        <w:t xml:space="preserve"> of </w:t>
      </w:r>
      <w:r>
        <w:rPr>
          <w:rFonts w:ascii="Arial" w:hAnsi="Arial" w:cs="Arial"/>
          <w:b/>
          <w:color w:val="000000" w:themeColor="text1"/>
          <w:sz w:val="28"/>
          <w:lang w:val="en-US"/>
        </w:rPr>
        <w:t>202</w:t>
      </w:r>
      <w:r w:rsidR="00375B53">
        <w:rPr>
          <w:rFonts w:ascii="Arial" w:hAnsi="Arial" w:cs="Arial"/>
          <w:b/>
          <w:color w:val="000000" w:themeColor="text1"/>
          <w:sz w:val="28"/>
          <w:lang w:val="en-US"/>
        </w:rPr>
        <w:t>1-2023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</w:p>
    <w:p w14:paraId="146597A8" w14:textId="2DC6C83D" w:rsidR="00A83136" w:rsidRPr="004A5E38" w:rsidRDefault="00453E0D" w:rsidP="00453E0D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  <w:lang w:val="en-US"/>
        </w:rPr>
        <w:t>analytic presentation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2AF5A638" w:rsidR="00A83136" w:rsidRPr="009508F1" w:rsidRDefault="00453E0D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453E0D">
        <w:rPr>
          <w:rFonts w:ascii="Arial" w:hAnsi="Arial" w:cs="Arial"/>
          <w:i/>
          <w:lang w:val="uz-Cyrl-UZ"/>
        </w:rPr>
        <w:t>(mln. USD)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375B53" w:rsidRPr="005E4026" w14:paraId="4DA8B8AE" w14:textId="77777777" w:rsidTr="00375B53">
        <w:trPr>
          <w:trHeight w:val="701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1F5CD9E" w:rsidR="00375B53" w:rsidRPr="005E4026" w:rsidRDefault="00375B53" w:rsidP="00375B53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453E0D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Indicators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53B57C30" w:rsidR="00375B53" w:rsidRPr="00375B53" w:rsidRDefault="00375B53" w:rsidP="00E5645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="00E5645F">
              <w:rPr>
                <w:rFonts w:ascii="Arial" w:hAnsi="Arial" w:cs="Arial"/>
                <w:b/>
                <w:color w:val="FFFFFF" w:themeColor="background1"/>
                <w:lang w:val="en-US"/>
              </w:rPr>
              <w:t>half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771994A5" w:rsidR="00375B53" w:rsidRPr="005E4026" w:rsidRDefault="00375B53" w:rsidP="00E5645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="00E5645F">
              <w:rPr>
                <w:rFonts w:ascii="Arial" w:hAnsi="Arial" w:cs="Arial"/>
                <w:b/>
                <w:color w:val="FFFFFF" w:themeColor="background1"/>
                <w:lang w:val="en-US"/>
              </w:rPr>
              <w:t>half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2022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38B3A4BB" w:rsidR="00375B53" w:rsidRPr="005E4026" w:rsidRDefault="00375B53" w:rsidP="00E5645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="00E5645F">
              <w:rPr>
                <w:rFonts w:ascii="Arial" w:hAnsi="Arial" w:cs="Arial"/>
                <w:b/>
                <w:color w:val="FFFFFF" w:themeColor="background1"/>
                <w:lang w:val="en-US"/>
              </w:rPr>
              <w:t>half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2023</w:t>
            </w:r>
          </w:p>
        </w:tc>
      </w:tr>
      <w:tr w:rsidR="00E5645F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5B413DF7" w:rsidR="00E5645F" w:rsidRPr="005E4026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53E0D">
              <w:rPr>
                <w:rFonts w:ascii="Arial" w:hAnsi="Arial" w:cs="Arial"/>
                <w:b/>
              </w:rPr>
              <w:t xml:space="preserve">A. </w:t>
            </w:r>
            <w:proofErr w:type="spellStart"/>
            <w:r w:rsidRPr="00453E0D">
              <w:rPr>
                <w:rFonts w:ascii="Arial" w:hAnsi="Arial" w:cs="Arial"/>
                <w:b/>
              </w:rPr>
              <w:t>Current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account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balance</w:t>
            </w:r>
            <w:proofErr w:type="spellEnd"/>
            <w:r w:rsidRPr="00DE6FB0">
              <w:rPr>
                <w:rFonts w:ascii="Arial Narrow" w:hAnsi="Arial Narrow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098C22B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-3 339,0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5713EE1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-637,7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04F3EF3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-3 174,5</w:t>
            </w:r>
          </w:p>
        </w:tc>
      </w:tr>
      <w:tr w:rsidR="00E5645F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391BA082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Goods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exports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41ABA05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5 972,9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79FF4C0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8 607,4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6DBFAFB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9 955,2</w:t>
            </w:r>
          </w:p>
        </w:tc>
      </w:tr>
      <w:tr w:rsidR="00E5645F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5FA14ECF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Goods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imports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5B32CB1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10 633,9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4661F4F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12 888,6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7561EDB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16 267,1</w:t>
            </w:r>
          </w:p>
        </w:tc>
      </w:tr>
      <w:tr w:rsidR="00E5645F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5F3165D1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Services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exports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6B73FBB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1 004,6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646D2B8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1 850,9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773C177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2 135,6</w:t>
            </w:r>
          </w:p>
        </w:tc>
      </w:tr>
      <w:tr w:rsidR="00E5645F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1924DA8D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Services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imports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5BB9AAE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2 162,1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7953FFD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4B9B962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3 518,5</w:t>
            </w:r>
          </w:p>
        </w:tc>
      </w:tr>
      <w:tr w:rsidR="00E5645F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151B4F15" w:rsidR="00E5645F" w:rsidRPr="00617770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lang w:val="en-US"/>
              </w:rPr>
            </w:pPr>
            <w:r w:rsidRPr="00617770">
              <w:rPr>
                <w:rFonts w:ascii="Arial" w:hAnsi="Arial" w:cs="Arial"/>
                <w:lang w:val="en-US"/>
              </w:rPr>
              <w:t xml:space="preserve">Balance on goods and services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67E6674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-5 818,5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52251F8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-5 736,1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6B40FC1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-7 694,8</w:t>
            </w:r>
          </w:p>
        </w:tc>
      </w:tr>
      <w:tr w:rsidR="00E5645F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76AFFAC5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Primary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0AD07C2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1 115,5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2D855C8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2 038,8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56BDF45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1 975,7</w:t>
            </w:r>
          </w:p>
        </w:tc>
      </w:tr>
      <w:tr w:rsidR="00E5645F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6B73EE2C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Primary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22EC82E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1 024,5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36B70DB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1 292,4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543F5A5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1 876,8</w:t>
            </w:r>
          </w:p>
        </w:tc>
      </w:tr>
      <w:tr w:rsidR="00E5645F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5EF44AFA" w:rsidR="00E5645F" w:rsidRPr="00617770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lang w:val="en-US"/>
              </w:rPr>
            </w:pPr>
            <w:r w:rsidRPr="00617770">
              <w:rPr>
                <w:rFonts w:ascii="Arial" w:hAnsi="Arial" w:cs="Arial"/>
                <w:lang w:val="en-US"/>
              </w:rPr>
              <w:t>Balance on goods, services, and primary income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4E01EDE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-5 727,5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671A92E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-4 989,7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660BF97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-7 595,9</w:t>
            </w:r>
          </w:p>
        </w:tc>
      </w:tr>
      <w:tr w:rsidR="00E5645F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1321EA8B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Secondary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6087B1C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2 673,9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7C002D0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6FED11D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4 800,3</w:t>
            </w:r>
          </w:p>
        </w:tc>
      </w:tr>
      <w:tr w:rsidR="00E5645F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171D3800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Secondary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284E156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285,4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065FBC6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449,9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6996C61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378,8</w:t>
            </w:r>
          </w:p>
        </w:tc>
      </w:tr>
      <w:tr w:rsidR="00E5645F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D2E09A2" w14:textId="68C473C9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B. Capital account (excluding reserve assets)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6D9568B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6D3EFDE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2915125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3,4</w:t>
            </w:r>
          </w:p>
        </w:tc>
      </w:tr>
      <w:tr w:rsidR="00E5645F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74E15405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Capital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account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2EDAECA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0B7A498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357FF98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E5645F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430E617F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Capital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account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25DE8DB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33191A4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536080F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563935CA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Balance on capital account and current account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292A39B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-3 335,1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03050F9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-628,3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1815D4D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-3 171,1</w:t>
            </w:r>
          </w:p>
        </w:tc>
      </w:tr>
      <w:tr w:rsidR="00E5645F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5D19FD36" w:rsidR="00E5645F" w:rsidRPr="005E4026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53E0D">
              <w:rPr>
                <w:rFonts w:ascii="Arial" w:hAnsi="Arial" w:cs="Arial"/>
                <w:b/>
              </w:rPr>
              <w:t>C. </w:t>
            </w:r>
            <w:proofErr w:type="spellStart"/>
            <w:r w:rsidRPr="00453E0D">
              <w:rPr>
                <w:rFonts w:ascii="Arial" w:hAnsi="Arial" w:cs="Arial"/>
                <w:b/>
              </w:rPr>
              <w:t>Financial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account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5266793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-2 963,3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25934C8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-994,2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5AAD068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-1 231,2</w:t>
            </w:r>
          </w:p>
        </w:tc>
      </w:tr>
      <w:tr w:rsidR="00E5645F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1A460574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Direct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58EE6BE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52B103A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121B82E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E5645F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7C2B326D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Direct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73E2C2C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178C576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3571617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951,7</w:t>
            </w:r>
          </w:p>
        </w:tc>
      </w:tr>
      <w:tr w:rsidR="00E5645F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76B687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Portfolio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11D9064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1F8642C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0068CFC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E5645F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1DF0BE0C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Equity and investment fund shares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5115762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654CA60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73B022D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E5645F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1A1FABAE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securities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5CADB11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50846E2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4BEC076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339AB8A7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Portfolio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52CEA66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7E983E4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1352892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E5645F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1BD457A7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Equity and investment fund shares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5B63892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5038932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20EF04A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E5645F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1B94F8BE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securities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0103EB6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1385008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4068B90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E5645F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405857EC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Financial derivatives (other than reserves)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586AD07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6729C73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52F7E7C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E5645F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4B007C38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derivatives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3922E6B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2B19F91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057E690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5D9ECB37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derivatives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2135FD7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15D4275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43318A9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-1,3</w:t>
            </w:r>
          </w:p>
        </w:tc>
      </w:tr>
      <w:tr w:rsidR="00E5645F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4A389502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7CB9146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984,1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07F674E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3 569,8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2AF9D86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1 218,6</w:t>
            </w:r>
          </w:p>
        </w:tc>
      </w:tr>
      <w:tr w:rsidR="00E5645F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180CED98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02B8E87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10CA51E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0E1B190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E5645F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7DF7C64B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lastRenderedPageBreak/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49F9A42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983,5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6528B26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3 569,4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64A9833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1 218,2</w:t>
            </w:r>
          </w:p>
        </w:tc>
      </w:tr>
      <w:tr w:rsidR="00E5645F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1BE35ED1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bank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6ECF1B1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7008607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30A3ABB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6B438C3A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Deposit-taking corporations (except the central bank)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245C696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5FFFCC5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1 496,5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3D0E778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-1 646,4</w:t>
            </w:r>
          </w:p>
        </w:tc>
      </w:tr>
      <w:tr w:rsidR="00E5645F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34250DDE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government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3AD0A7F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4A0EAA2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189C6F5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-10,5</w:t>
            </w:r>
          </w:p>
        </w:tc>
      </w:tr>
      <w:tr w:rsidR="00E5645F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516C4EEF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sectors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6B205A8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2B395A3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29451BF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E5645F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4E9A7E4B" w:rsidR="00E5645F" w:rsidRPr="00453E0D" w:rsidRDefault="00E5645F" w:rsidP="00E5645F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corporations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74C088E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3E48C3B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1FAF86B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516A65AF" w:rsidR="00E5645F" w:rsidRPr="00453E0D" w:rsidRDefault="00E5645F" w:rsidP="00E5645F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Nonfinancial corporations, households, and NPISHs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08A877A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1791B9A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4B0FD15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E5645F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1CA7A0BD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410D132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0F57C2A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11A745E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E5645F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31E74F63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equity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4B32F1A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6AB011C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2C8BD25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E5748A2" w:rsidR="00E5645F" w:rsidRPr="00453E0D" w:rsidRDefault="00E5645F" w:rsidP="00E5645F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30001DF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2CACE45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3893BED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E5645F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6F7EE03F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bank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728F293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3526B35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1556662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341" w14:textId="19663A49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Deposit-taking corporations (except the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bank)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6720D76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687,2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2A0C9F5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2 189,1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2F19092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444,2</w:t>
            </w:r>
          </w:p>
        </w:tc>
      </w:tr>
      <w:tr w:rsidR="00E5645F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68C383D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government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0DBABF4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467,6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292625F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339,1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0DEC38D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664,3</w:t>
            </w:r>
          </w:p>
        </w:tc>
      </w:tr>
      <w:tr w:rsidR="00E5645F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6147359" w:rsidR="00E5645F" w:rsidRPr="00453E0D" w:rsidRDefault="00E5645F" w:rsidP="00E5645F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sectors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70385EA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1 089,4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07EC479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1 156,6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5198F3A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398,4</w:t>
            </w:r>
          </w:p>
        </w:tc>
      </w:tr>
      <w:tr w:rsidR="00E5645F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444A1209" w:rsidR="00E5645F" w:rsidRPr="00453E0D" w:rsidRDefault="00E5645F" w:rsidP="00E5645F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corporations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48F228A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746BB55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77DF1EF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15,7</w:t>
            </w:r>
          </w:p>
        </w:tc>
      </w:tr>
      <w:tr w:rsidR="00E5645F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437A8CA8" w:rsidR="00E5645F" w:rsidRPr="00453E0D" w:rsidRDefault="00E5645F" w:rsidP="00E5645F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Nonfinancial corporations, households, and PISHs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07159F3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1 086,8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18DEA09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1 131,7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771F206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382,7</w:t>
            </w:r>
          </w:p>
        </w:tc>
      </w:tr>
      <w:tr w:rsidR="00E5645F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07D7BB45" w:rsidR="00E5645F" w:rsidRPr="00617770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D. Net Errors and Omissions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750A63B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-409,9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5F51FED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3FE2C65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-82,3</w:t>
            </w:r>
          </w:p>
        </w:tc>
      </w:tr>
      <w:tr w:rsidR="00E5645F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51A94CF1" w:rsidR="00E5645F" w:rsidRPr="00453E0D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</w:rPr>
            </w:pPr>
            <w:r w:rsidRPr="00453E0D">
              <w:rPr>
                <w:rFonts w:ascii="Arial" w:hAnsi="Arial" w:cs="Arial"/>
                <w:b/>
              </w:rPr>
              <w:t xml:space="preserve">E. </w:t>
            </w:r>
            <w:proofErr w:type="spellStart"/>
            <w:r w:rsidRPr="00453E0D">
              <w:rPr>
                <w:rFonts w:ascii="Arial" w:hAnsi="Arial" w:cs="Arial"/>
                <w:b/>
              </w:rPr>
              <w:t>Overall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Balance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2BF42A7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21E2AED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46EA56E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2 022,2</w:t>
            </w:r>
          </w:p>
        </w:tc>
      </w:tr>
      <w:tr w:rsidR="00E5645F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1095299F" w:rsidR="00E5645F" w:rsidRPr="00617770" w:rsidRDefault="00E5645F" w:rsidP="00E5645F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F. Reserves and Related Items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4ACADFC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36C32F6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76B830E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-2 022,2</w:t>
            </w:r>
          </w:p>
        </w:tc>
      </w:tr>
      <w:tr w:rsidR="00E5645F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21DACE66" w:rsidR="00E5645F" w:rsidRPr="00453E0D" w:rsidRDefault="00E5645F" w:rsidP="00E5645F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290EDF6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5A50BCF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285,2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11C91CE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-2 021,8</w:t>
            </w:r>
          </w:p>
        </w:tc>
      </w:tr>
      <w:tr w:rsidR="00E5645F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311" w14:textId="6FC5D859" w:rsidR="00E5645F" w:rsidRPr="00453E0D" w:rsidRDefault="00E5645F" w:rsidP="00E5645F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lang w:val="en-US"/>
              </w:rPr>
            </w:pPr>
            <w:r w:rsidRPr="00453E0D">
              <w:rPr>
                <w:rFonts w:ascii="Arial" w:hAnsi="Arial" w:cs="Arial"/>
                <w:szCs w:val="16"/>
                <w:lang w:val="en-US"/>
              </w:rPr>
              <w:t>Net credits from the IMF (other than reserves)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4D59DFC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498C0C2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3A49A3E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E5645F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4891EB" w:rsidR="00E5645F" w:rsidRPr="00453E0D" w:rsidRDefault="00E5645F" w:rsidP="00E5645F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Exceptional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financing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5057DA1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18615E2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3C33F3F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68A5C6D4" w14:textId="69C30E99" w:rsidR="00823473" w:rsidRDefault="00453E0D" w:rsidP="003B4ED4">
      <w:pPr>
        <w:spacing w:before="240" w:after="120" w:line="276" w:lineRule="auto"/>
        <w:ind w:right="-31"/>
        <w:rPr>
          <w:rFonts w:ascii="Arial" w:hAnsi="Arial" w:cs="Arial"/>
          <w:sz w:val="28"/>
          <w:lang w:val="uz-Cyrl-UZ"/>
        </w:rPr>
      </w:pPr>
      <w:r w:rsidRPr="00453E0D">
        <w:rPr>
          <w:rFonts w:ascii="Arial" w:hAnsi="Arial" w:cs="Arial"/>
          <w:i/>
          <w:sz w:val="18"/>
          <w:lang w:val="uz-Cyrl-UZ"/>
        </w:rPr>
        <w:t>This statistic report uses analytic presentation, described in the 6th edition of the Balance of Payments Manual (BPM6).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6CCA1269" w14:textId="77777777" w:rsidR="00AE2727" w:rsidRDefault="00AE2727" w:rsidP="00AE2727">
      <w:pPr>
        <w:rPr>
          <w:lang w:val="en-US"/>
        </w:rPr>
      </w:pPr>
      <w:bookmarkStart w:id="2" w:name="_Toc130900973"/>
    </w:p>
    <w:p w14:paraId="3AC9A9C7" w14:textId="00841AFC" w:rsidR="00823473" w:rsidRPr="003B6039" w:rsidRDefault="00453E0D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r>
        <w:rPr>
          <w:rFonts w:ascii="Arial" w:hAnsi="Arial" w:cs="Arial"/>
          <w:b/>
          <w:color w:val="6B8068"/>
          <w:sz w:val="28"/>
          <w:lang w:val="en-US"/>
        </w:rPr>
        <w:t>Addenda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Start w:id="3" w:name="_Toc123153689"/>
      <w:bookmarkEnd w:id="2"/>
      <w:r w:rsidRPr="00055CB5">
        <w:rPr>
          <w:rFonts w:ascii="Arial" w:hAnsi="Arial" w:cs="Arial"/>
          <w:b/>
          <w:color w:val="000000" w:themeColor="text1"/>
          <w:sz w:val="28"/>
          <w:lang w:val="en-US"/>
        </w:rPr>
        <w:t>International investment position for 202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>1</w:t>
      </w:r>
      <w:r w:rsidRPr="00055CB5">
        <w:rPr>
          <w:rFonts w:ascii="Arial" w:hAnsi="Arial" w:cs="Arial"/>
          <w:b/>
          <w:color w:val="000000" w:themeColor="text1"/>
          <w:sz w:val="28"/>
          <w:lang w:val="en-US"/>
        </w:rPr>
        <w:t>-2022</w:t>
      </w:r>
      <w:bookmarkEnd w:id="3"/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 xml:space="preserve"> 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br/>
        <w:t xml:space="preserve">and </w:t>
      </w:r>
      <w:r w:rsidR="004334F7">
        <w:rPr>
          <w:rFonts w:ascii="Arial" w:hAnsi="Arial" w:cs="Arial"/>
          <w:b/>
          <w:color w:val="000000" w:themeColor="text1"/>
          <w:sz w:val="28"/>
          <w:lang w:val="en-US"/>
        </w:rPr>
        <w:t>the I half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 xml:space="preserve"> of 2023</w:t>
      </w:r>
    </w:p>
    <w:p w14:paraId="65830D4F" w14:textId="24314F09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453E0D" w:rsidRPr="00453E0D">
        <w:rPr>
          <w:rFonts w:ascii="Arial" w:hAnsi="Arial" w:cs="Arial"/>
          <w:i/>
          <w:sz w:val="20"/>
          <w:lang w:val="uz-Cyrl-UZ"/>
        </w:rPr>
        <w:t>(mln. USD)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409"/>
        <w:gridCol w:w="1417"/>
        <w:gridCol w:w="1417"/>
        <w:gridCol w:w="1417"/>
      </w:tblGrid>
      <w:tr w:rsidR="005E4026" w:rsidRPr="0035269D" w14:paraId="1710143F" w14:textId="77777777" w:rsidTr="005E4026">
        <w:trPr>
          <w:trHeight w:val="526"/>
          <w:tblHeader/>
        </w:trPr>
        <w:tc>
          <w:tcPr>
            <w:tcW w:w="5409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60547D24" w:rsidR="005E4026" w:rsidRPr="005E4026" w:rsidRDefault="00453E0D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FFFFFF" w:themeColor="background1"/>
              </w:rPr>
              <w:t>Indicators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61033FA1" w:rsidR="005E4026" w:rsidRPr="005E4026" w:rsidRDefault="00EB73DD" w:rsidP="00453E0D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7D2F5A5F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EB73DD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6DB51584" w:rsidR="005E4026" w:rsidRPr="005E4026" w:rsidRDefault="00E5645F" w:rsidP="00453E0D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01.07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</w:p>
        </w:tc>
      </w:tr>
      <w:tr w:rsidR="00E5645F" w:rsidRPr="0035269D" w14:paraId="6860D8AD" w14:textId="77777777" w:rsidTr="005E4026">
        <w:trPr>
          <w:trHeight w:val="504"/>
        </w:trPr>
        <w:tc>
          <w:tcPr>
            <w:tcW w:w="5409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0A032033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Assets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2F1D257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41B2C48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82 293,7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0486759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81 405,5</w:t>
            </w:r>
          </w:p>
        </w:tc>
      </w:tr>
      <w:tr w:rsidR="00E5645F" w:rsidRPr="0035269D" w14:paraId="140046F0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6655730" w14:textId="02BA42D9" w:rsidR="00E5645F" w:rsidRPr="00453E0D" w:rsidRDefault="00E5645F" w:rsidP="00E5645F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Direct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AA8660D" w14:textId="2BAB641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A753913" w14:textId="2F5D0EE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5359776" w14:textId="694DA95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209,6</w:t>
            </w:r>
          </w:p>
        </w:tc>
      </w:tr>
      <w:tr w:rsidR="00E5645F" w:rsidRPr="0035269D" w14:paraId="6FEEEC5D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69AE1A16" w14:textId="15FBD04F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4B92D37F" w14:textId="55E4A82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17" w:type="dxa"/>
            <w:vAlign w:val="center"/>
          </w:tcPr>
          <w:p w14:paraId="47EF65E7" w14:textId="4E2763A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17" w:type="dxa"/>
            <w:vAlign w:val="center"/>
          </w:tcPr>
          <w:p w14:paraId="635FDEB0" w14:textId="7C1CBF6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E5645F" w:rsidRPr="0035269D" w14:paraId="5BB6B6D9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BEE913D" w14:textId="71FF6AAE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13CDCCED" w14:textId="780FAFF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17" w:type="dxa"/>
            <w:vAlign w:val="center"/>
          </w:tcPr>
          <w:p w14:paraId="0ACA4A90" w14:textId="31651BC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17" w:type="dxa"/>
            <w:vAlign w:val="center"/>
          </w:tcPr>
          <w:p w14:paraId="4D76A577" w14:textId="3FADBDA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E5645F" w:rsidRPr="0035269D" w14:paraId="13364B2E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B917CE6" w14:textId="6F00C8D6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3AA6D14D" w14:textId="5721C1F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13ED55B" w14:textId="22D28DA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F1EFF55" w14:textId="6DEBF34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3128CEFC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24EEDB62" w14:textId="1D8C53FA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5118496B" w14:textId="31288AC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A392132" w14:textId="1EE9A53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3578F7E" w14:textId="590BD74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76B93835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059956D8" w14:textId="2774C89F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7887D002" w14:textId="7854EBD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17" w:type="dxa"/>
            <w:vAlign w:val="center"/>
          </w:tcPr>
          <w:p w14:paraId="283E8804" w14:textId="1A0597B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417" w:type="dxa"/>
            <w:vAlign w:val="center"/>
          </w:tcPr>
          <w:p w14:paraId="4223E948" w14:textId="009700C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171,6</w:t>
            </w:r>
          </w:p>
        </w:tc>
      </w:tr>
      <w:tr w:rsidR="00E5645F" w:rsidRPr="0035269D" w14:paraId="49253C24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AAE4D47" w14:textId="4F30D826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61EFE271" w14:textId="5B2EF48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08EFD09F" w14:textId="589DF36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33867AE4" w14:textId="3242888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E5645F" w:rsidRPr="0035269D" w14:paraId="7F0ABD38" w14:textId="77777777" w:rsidTr="005E4026">
        <w:trPr>
          <w:trHeight w:val="729"/>
        </w:trPr>
        <w:tc>
          <w:tcPr>
            <w:tcW w:w="5409" w:type="dxa"/>
            <w:vAlign w:val="center"/>
            <w:hideMark/>
          </w:tcPr>
          <w:p w14:paraId="34811D93" w14:textId="171639F4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 direct investor  (reverse investment)</w:t>
            </w:r>
          </w:p>
        </w:tc>
        <w:tc>
          <w:tcPr>
            <w:tcW w:w="1417" w:type="dxa"/>
            <w:vAlign w:val="center"/>
          </w:tcPr>
          <w:p w14:paraId="3664406F" w14:textId="5D45434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7776DE0" w14:textId="2268856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78972ED" w14:textId="3BA1166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0D1EDE84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A0A065A" w14:textId="5A633368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4C783ED9" w14:textId="3E646A8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417" w:type="dxa"/>
            <w:vAlign w:val="center"/>
          </w:tcPr>
          <w:p w14:paraId="6251C12C" w14:textId="1264236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17" w:type="dxa"/>
            <w:vAlign w:val="center"/>
          </w:tcPr>
          <w:p w14:paraId="40F188EE" w14:textId="74416C2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169,1</w:t>
            </w:r>
          </w:p>
        </w:tc>
      </w:tr>
      <w:tr w:rsidR="00E5645F" w:rsidRPr="0035269D" w14:paraId="4DBF031F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744B2F70" w14:textId="7143037D" w:rsidR="00E5645F" w:rsidRPr="00453E0D" w:rsidRDefault="00E5645F" w:rsidP="00E5645F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Portfolio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6A19765" w14:textId="5F26F6D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0FA8728" w14:textId="45757DC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ECEC742" w14:textId="664FAD8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2,6</w:t>
            </w:r>
          </w:p>
        </w:tc>
      </w:tr>
      <w:tr w:rsidR="00E5645F" w:rsidRPr="0035269D" w14:paraId="76B1BC1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33E7956D" w14:textId="4C1FA6CA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3262BD9B" w14:textId="77CECC3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731C0698" w14:textId="20F5D19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576C742D" w14:textId="16C58D6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E5645F" w:rsidRPr="0035269D" w14:paraId="5AC5F259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B8A6F3E" w14:textId="5C849818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19A07ABE" w14:textId="365988B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BE79890" w14:textId="15866BD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B41EA49" w14:textId="359F164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7016021D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6EF15AC" w14:textId="52C53153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76ABA43" w14:textId="652E355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14:paraId="262EFEB0" w14:textId="0424B01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14:paraId="6D40F579" w14:textId="62256AF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E5645F" w:rsidRPr="0035269D" w14:paraId="4F93E86D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75C06C0" w14:textId="57D3C1F1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0AEF5B2A" w14:textId="4FB208E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67712A2" w14:textId="1FE86BE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F3BAE21" w14:textId="0988BAB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6E71FE63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8487F87" w14:textId="0AB68D59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49F390C5" w14:textId="7ED71F9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17" w:type="dxa"/>
            <w:vAlign w:val="center"/>
          </w:tcPr>
          <w:p w14:paraId="0BAED457" w14:textId="574FD3D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17" w:type="dxa"/>
            <w:vAlign w:val="center"/>
          </w:tcPr>
          <w:p w14:paraId="1EDF0FE8" w14:textId="0B7FF5B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E5645F" w:rsidRPr="0035269D" w14:paraId="05B07D47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6390444" w14:textId="341CC898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2FC2FBE9" w14:textId="1DA1B51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357C724" w14:textId="1B6A815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C1ED3CF" w14:textId="4E1D442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6A7148DA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EC2AE6F" w14:textId="23CE4E9F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securities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49B014" w14:textId="6D8A582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463E6FD" w14:textId="69806FE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3E384FB" w14:textId="22FBB19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16887899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704D1D4" w14:textId="06518CA8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00E1443A" w14:textId="3B8D7B6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500BA08" w14:textId="06F1465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65002CF" w14:textId="348D1A9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0B53F11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C873E4E" w14:textId="374BC477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2409D0C7" w14:textId="1F170E1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7D824B5" w14:textId="2429392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D2CD0D3" w14:textId="1F46ED2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36C9C41A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E55C3CC" w14:textId="197705A5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1766CED9" w14:textId="13F3439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13A15DF" w14:textId="6DA280D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1FECB4A" w14:textId="3369F97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520FEB74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7574FAB3" w14:textId="1D9465B8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76CAFFB7" w14:textId="1195B93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8CCCF42" w14:textId="1DDFD11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6CE43E8" w14:textId="707D2D0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5F413340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47C8A89E" w14:textId="17D68395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0CB1CFA6" w14:textId="3E26841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6ACA664" w14:textId="6C6D6BC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5203295" w14:textId="406A047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44D6EDE9" w14:textId="77777777" w:rsidTr="005E4026">
        <w:trPr>
          <w:trHeight w:val="72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3581622" w14:textId="7ECBDDCD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b/>
                <w:color w:val="000000"/>
                <w:lang w:val="en-US"/>
              </w:rPr>
              <w:t xml:space="preserve">Financial derivatives (other than reserves) and employee stock options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8487571" w14:textId="6D0EE17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3427D1" w14:textId="192CF27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3C482B4" w14:textId="2E8930E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E5645F" w:rsidRPr="0035269D" w14:paraId="7C0E796F" w14:textId="77777777" w:rsidTr="005E4026">
        <w:trPr>
          <w:trHeight w:val="449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0471D82B" w14:textId="6BE54C55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4B49CF" w14:textId="0317065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80CB22" w14:textId="308861C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46 321,7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CE5EEFE" w14:textId="1564E5A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47 472,9</w:t>
            </w:r>
          </w:p>
        </w:tc>
      </w:tr>
      <w:tr w:rsidR="00E5645F" w:rsidRPr="0035269D" w14:paraId="2C6DC846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2559E7E" w14:textId="76B6ADBD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FA924F" w14:textId="1B262D9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14:paraId="55084AE5" w14:textId="413BBC6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417" w:type="dxa"/>
            <w:vAlign w:val="center"/>
          </w:tcPr>
          <w:p w14:paraId="22C2F640" w14:textId="2887813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5645F" w:rsidRPr="0035269D" w14:paraId="5B3F36C0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AA8E2CD" w14:textId="40D9F696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7F61C8CF" w14:textId="5C04661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417" w:type="dxa"/>
            <w:vAlign w:val="center"/>
          </w:tcPr>
          <w:p w14:paraId="065A3F94" w14:textId="5831429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46 320,1</w:t>
            </w:r>
          </w:p>
        </w:tc>
        <w:tc>
          <w:tcPr>
            <w:tcW w:w="1417" w:type="dxa"/>
            <w:vAlign w:val="center"/>
          </w:tcPr>
          <w:p w14:paraId="063C8822" w14:textId="6F9417B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47 470,8</w:t>
            </w:r>
          </w:p>
        </w:tc>
      </w:tr>
      <w:tr w:rsidR="00E5645F" w:rsidRPr="0035269D" w14:paraId="2C24542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32438A5" w14:textId="170742F5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569AD19F" w14:textId="0E09056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658A9BC" w14:textId="06093A1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EFBC794" w14:textId="3FEB0B7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62543FAE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08BE3345" w14:textId="00837120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lastRenderedPageBreak/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5863BF89" w14:textId="4BA06FE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417" w:type="dxa"/>
            <w:vAlign w:val="center"/>
          </w:tcPr>
          <w:p w14:paraId="4523C89F" w14:textId="3090E5E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417" w:type="dxa"/>
            <w:vAlign w:val="center"/>
          </w:tcPr>
          <w:p w14:paraId="02ED3D45" w14:textId="525B762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2 834,9</w:t>
            </w:r>
          </w:p>
        </w:tc>
      </w:tr>
      <w:tr w:rsidR="00E5645F" w:rsidRPr="0035269D" w14:paraId="28466023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551BD838" w14:textId="4BA41F13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53DE45C8" w14:textId="027F071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17" w:type="dxa"/>
            <w:vAlign w:val="center"/>
          </w:tcPr>
          <w:p w14:paraId="3A3F1C29" w14:textId="6BC6641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17" w:type="dxa"/>
            <w:vAlign w:val="center"/>
          </w:tcPr>
          <w:p w14:paraId="41384F48" w14:textId="2391F60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E5645F" w:rsidRPr="0035269D" w14:paraId="79F3A4B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2EE2F688" w14:textId="71F1A3BF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2F6BA5AA" w14:textId="5FA31E3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417" w:type="dxa"/>
            <w:vAlign w:val="center"/>
          </w:tcPr>
          <w:p w14:paraId="7612A942" w14:textId="7564C1E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41 759,5</w:t>
            </w:r>
          </w:p>
        </w:tc>
        <w:tc>
          <w:tcPr>
            <w:tcW w:w="1417" w:type="dxa"/>
            <w:vAlign w:val="center"/>
          </w:tcPr>
          <w:p w14:paraId="5B557EF0" w14:textId="1A50874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44 632,0</w:t>
            </w:r>
          </w:p>
        </w:tc>
      </w:tr>
      <w:tr w:rsidR="00E5645F" w:rsidRPr="0035269D" w14:paraId="2E98F29C" w14:textId="77777777" w:rsidTr="005E4026">
        <w:trPr>
          <w:trHeight w:val="336"/>
        </w:trPr>
        <w:tc>
          <w:tcPr>
            <w:tcW w:w="5409" w:type="dxa"/>
            <w:vAlign w:val="center"/>
            <w:hideMark/>
          </w:tcPr>
          <w:p w14:paraId="1303C18D" w14:textId="1FBE32AC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58F00E91" w14:textId="18F71D2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A771305" w14:textId="72F2494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93F5B29" w14:textId="0FF5841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7C59DCDD" w14:textId="77777777" w:rsidTr="005E4026">
        <w:trPr>
          <w:trHeight w:val="50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A025C9" w14:textId="587CCB32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assets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8511FEC" w14:textId="2FE889E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4C451D" w14:textId="153E80B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2AE8611" w14:textId="561E6C4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33 720,3</w:t>
            </w:r>
          </w:p>
        </w:tc>
      </w:tr>
      <w:tr w:rsidR="00E5645F" w:rsidRPr="0035269D" w14:paraId="28E6E5EA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1E7B0E50" w14:textId="07FF2BAB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Monetary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gold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FB9006" w14:textId="792183D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417" w:type="dxa"/>
            <w:vAlign w:val="center"/>
          </w:tcPr>
          <w:p w14:paraId="5C18A90B" w14:textId="4E88233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417" w:type="dxa"/>
            <w:vAlign w:val="center"/>
          </w:tcPr>
          <w:p w14:paraId="4852BB43" w14:textId="3861CE6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23 087,1</w:t>
            </w:r>
          </w:p>
        </w:tc>
      </w:tr>
      <w:tr w:rsidR="00E5645F" w:rsidRPr="0035269D" w14:paraId="66DC05E2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398D718B" w14:textId="1064E29A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position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IMF </w:t>
            </w:r>
          </w:p>
        </w:tc>
        <w:tc>
          <w:tcPr>
            <w:tcW w:w="1417" w:type="dxa"/>
            <w:vAlign w:val="center"/>
          </w:tcPr>
          <w:p w14:paraId="79D7DCA9" w14:textId="641114F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6B5C63E" w14:textId="101D6AA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2EC85F6" w14:textId="2C85AA6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067B2A27" w14:textId="77777777" w:rsidTr="005E4026">
        <w:trPr>
          <w:trHeight w:val="365"/>
        </w:trPr>
        <w:tc>
          <w:tcPr>
            <w:tcW w:w="5409" w:type="dxa"/>
            <w:vAlign w:val="center"/>
            <w:hideMark/>
          </w:tcPr>
          <w:p w14:paraId="21DA8EF0" w14:textId="3E84E01B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assets</w:t>
            </w:r>
            <w:proofErr w:type="spellEnd"/>
          </w:p>
        </w:tc>
        <w:tc>
          <w:tcPr>
            <w:tcW w:w="1417" w:type="dxa"/>
            <w:vAlign w:val="center"/>
          </w:tcPr>
          <w:p w14:paraId="71BA5FF8" w14:textId="3D216CA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189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417" w:type="dxa"/>
            <w:vAlign w:val="center"/>
          </w:tcPr>
          <w:p w14:paraId="7569C5E8" w14:textId="7CDC861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uz-Cyrl-UZ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702</w:t>
            </w:r>
            <w:r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417" w:type="dxa"/>
            <w:vAlign w:val="center"/>
          </w:tcPr>
          <w:p w14:paraId="6846FD95" w14:textId="4368A3E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10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633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</w:tr>
      <w:tr w:rsidR="00E5645F" w:rsidRPr="0035269D" w14:paraId="03746F14" w14:textId="77777777" w:rsidTr="005E4026">
        <w:trPr>
          <w:trHeight w:val="355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3E0CD8A9" w14:textId="40E9AF43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Liabilities</w:t>
            </w:r>
            <w:proofErr w:type="spellEnd"/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D0140B9" w14:textId="63ECE6B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53 586,0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EF3FCB7" w14:textId="52F670E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63 349,0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449AD89A" w14:textId="39E186A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65 252,6</w:t>
            </w:r>
          </w:p>
        </w:tc>
      </w:tr>
      <w:tr w:rsidR="00E5645F" w:rsidRPr="0035269D" w14:paraId="50E368EA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24D611A8" w14:textId="68068494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Direct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04347C" w14:textId="6C3DCA9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11 594,1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D60B40" w14:textId="11ABC6D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13 649,5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BFC80BB" w14:textId="229C48E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14 205,5</w:t>
            </w:r>
          </w:p>
        </w:tc>
      </w:tr>
      <w:tr w:rsidR="00E5645F" w:rsidRPr="0035269D" w14:paraId="524A6957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3F3CB0E6" w14:textId="24818393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2021C144" w14:textId="50A05C9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17" w:type="dxa"/>
            <w:vAlign w:val="center"/>
          </w:tcPr>
          <w:p w14:paraId="65200027" w14:textId="2031FD1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417" w:type="dxa"/>
            <w:vAlign w:val="center"/>
          </w:tcPr>
          <w:p w14:paraId="73D52070" w14:textId="5B4B4FD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E5645F" w:rsidRPr="0035269D" w14:paraId="4C25703C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BB803CD" w14:textId="25F0F255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1944E8E5" w14:textId="4DF8620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17" w:type="dxa"/>
            <w:vAlign w:val="center"/>
          </w:tcPr>
          <w:p w14:paraId="6B0A9CA7" w14:textId="2C2B2EA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417" w:type="dxa"/>
            <w:vAlign w:val="center"/>
          </w:tcPr>
          <w:p w14:paraId="68EC4BD1" w14:textId="253A41F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E5645F" w:rsidRPr="0035269D" w14:paraId="3D74D768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534F896F" w14:textId="74EA0590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50C8D0A1" w14:textId="2BF6ACE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AE12516" w14:textId="5F447E7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61D4F37" w14:textId="15F07A5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69F6B36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4678963C" w14:textId="6536E95A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3745D9C7" w14:textId="06C54D1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DF71474" w14:textId="605F941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90EDB10" w14:textId="0CBDAAE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347B1C58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84C5D6A" w14:textId="36929D31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21B6C7AB" w14:textId="064AD3E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417" w:type="dxa"/>
            <w:vAlign w:val="center"/>
          </w:tcPr>
          <w:p w14:paraId="073AA72C" w14:textId="7E14EEB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2 287,5</w:t>
            </w:r>
          </w:p>
        </w:tc>
        <w:tc>
          <w:tcPr>
            <w:tcW w:w="1417" w:type="dxa"/>
            <w:vAlign w:val="center"/>
          </w:tcPr>
          <w:p w14:paraId="631840CE" w14:textId="792651C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2 549,5</w:t>
            </w:r>
          </w:p>
        </w:tc>
      </w:tr>
      <w:tr w:rsidR="00E5645F" w:rsidRPr="0035269D" w14:paraId="48D7747F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71FB18F5" w14:textId="28B96EEB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40D40A86" w14:textId="55B0054E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417" w:type="dxa"/>
            <w:vAlign w:val="center"/>
          </w:tcPr>
          <w:p w14:paraId="2FC46B9A" w14:textId="10BA185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2 020,8</w:t>
            </w:r>
          </w:p>
        </w:tc>
        <w:tc>
          <w:tcPr>
            <w:tcW w:w="1417" w:type="dxa"/>
            <w:vAlign w:val="center"/>
          </w:tcPr>
          <w:p w14:paraId="37D6DC8A" w14:textId="498AD81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2 247,7</w:t>
            </w:r>
          </w:p>
        </w:tc>
      </w:tr>
      <w:tr w:rsidR="00E5645F" w:rsidRPr="0035269D" w14:paraId="1AC96A07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0C9D083A" w14:textId="0DD62BB3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0D09E2D1" w14:textId="5AD38EB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DAA7EDC" w14:textId="415462F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C6DC91D" w14:textId="28C8BF7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5DA2782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BF55833" w14:textId="68C4BAD3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26383D01" w14:textId="3C0FCDE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417" w:type="dxa"/>
            <w:vAlign w:val="center"/>
          </w:tcPr>
          <w:p w14:paraId="4D2435BA" w14:textId="4316E44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266,7</w:t>
            </w:r>
          </w:p>
        </w:tc>
        <w:tc>
          <w:tcPr>
            <w:tcW w:w="1417" w:type="dxa"/>
            <w:vAlign w:val="center"/>
          </w:tcPr>
          <w:p w14:paraId="4F1116BF" w14:textId="197DDF9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301,8</w:t>
            </w:r>
          </w:p>
        </w:tc>
      </w:tr>
      <w:tr w:rsidR="00E5645F" w:rsidRPr="0035269D" w14:paraId="3CB22710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E73C31" w14:textId="5AAE4C22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Portfolio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48A1095" w14:textId="0EE2B8B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8891B5" w14:textId="579B26F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7C3961" w14:textId="34E9933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4 229,4</w:t>
            </w:r>
          </w:p>
        </w:tc>
      </w:tr>
      <w:tr w:rsidR="00E5645F" w:rsidRPr="0035269D" w14:paraId="2ADB5291" w14:textId="77777777" w:rsidTr="005E4026">
        <w:trPr>
          <w:trHeight w:val="475"/>
        </w:trPr>
        <w:tc>
          <w:tcPr>
            <w:tcW w:w="5409" w:type="dxa"/>
            <w:vAlign w:val="center"/>
            <w:hideMark/>
          </w:tcPr>
          <w:p w14:paraId="19916F13" w14:textId="30F06EA9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596734CF" w14:textId="46F59F3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417" w:type="dxa"/>
            <w:vAlign w:val="center"/>
          </w:tcPr>
          <w:p w14:paraId="258C55EE" w14:textId="1B15B64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417" w:type="dxa"/>
            <w:vAlign w:val="center"/>
          </w:tcPr>
          <w:p w14:paraId="15AD0D13" w14:textId="64491C3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E5645F" w:rsidRPr="0035269D" w14:paraId="639055AA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AFB5526" w14:textId="22C104EB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208A6B6B" w14:textId="5423ED6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70C17F4" w14:textId="003BC9A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35D764D" w14:textId="2F613ED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03A7D210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333357F7" w14:textId="61D68E34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7778E4C5" w14:textId="400F419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417" w:type="dxa"/>
            <w:vAlign w:val="center"/>
          </w:tcPr>
          <w:p w14:paraId="02AE3B44" w14:textId="4247481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417" w:type="dxa"/>
            <w:vAlign w:val="center"/>
          </w:tcPr>
          <w:p w14:paraId="1F651372" w14:textId="457FF69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E5645F" w:rsidRPr="0035269D" w14:paraId="615DF2DC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8325487" w14:textId="2F59C66E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4BE4687F" w14:textId="525372C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B5FA729" w14:textId="12DBAED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11C9A73" w14:textId="7784291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16EA9702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6C3ACDE4" w14:textId="7CCE7025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03BEA533" w14:textId="3696A3D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417" w:type="dxa"/>
            <w:vAlign w:val="center"/>
          </w:tcPr>
          <w:p w14:paraId="79039D22" w14:textId="798B7A5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417" w:type="dxa"/>
            <w:vAlign w:val="center"/>
          </w:tcPr>
          <w:p w14:paraId="383CFE0A" w14:textId="26FA555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58,1</w:t>
            </w:r>
          </w:p>
        </w:tc>
      </w:tr>
      <w:tr w:rsidR="00E5645F" w:rsidRPr="0035269D" w14:paraId="39044F13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0AFE53E" w14:textId="251F5F29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09C8EB9A" w14:textId="0D3804E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17" w:type="dxa"/>
            <w:vAlign w:val="center"/>
          </w:tcPr>
          <w:p w14:paraId="3F4EA8E8" w14:textId="45F772F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17" w:type="dxa"/>
            <w:vAlign w:val="center"/>
          </w:tcPr>
          <w:p w14:paraId="25FB6953" w14:textId="11B9A41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E5645F" w:rsidRPr="0035269D" w14:paraId="30E59133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55A4F09" w14:textId="6F715E88" w:rsidR="00E5645F" w:rsidRPr="00453E0D" w:rsidRDefault="00E5645F" w:rsidP="00E5645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securities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B851E6" w14:textId="457EB99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417" w:type="dxa"/>
            <w:vAlign w:val="center"/>
          </w:tcPr>
          <w:p w14:paraId="07EBD455" w14:textId="6F5B2EA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417" w:type="dxa"/>
            <w:vAlign w:val="center"/>
          </w:tcPr>
          <w:p w14:paraId="29049C1B" w14:textId="1C55D93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4 125,2</w:t>
            </w:r>
          </w:p>
        </w:tc>
      </w:tr>
      <w:tr w:rsidR="00E5645F" w:rsidRPr="0035269D" w14:paraId="3BBA9A1D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2001FC0" w14:textId="3C5E7CA9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198E8C24" w14:textId="33C686F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540F808" w14:textId="35291DA4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DA69BFA" w14:textId="40355CD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3BBB960B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00B731A4" w14:textId="4FC1F46F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869C592" w14:textId="72FA4CF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417" w:type="dxa"/>
            <w:vAlign w:val="center"/>
          </w:tcPr>
          <w:p w14:paraId="722610E9" w14:textId="597C0A4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417" w:type="dxa"/>
            <w:vAlign w:val="center"/>
          </w:tcPr>
          <w:p w14:paraId="4EB61E77" w14:textId="5D20F28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923,7</w:t>
            </w:r>
          </w:p>
        </w:tc>
      </w:tr>
      <w:tr w:rsidR="00E5645F" w:rsidRPr="0035269D" w14:paraId="24D31613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26780388" w14:textId="2FB512EB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7CEB9473" w14:textId="398581F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417" w:type="dxa"/>
            <w:vAlign w:val="center"/>
          </w:tcPr>
          <w:p w14:paraId="1F37E44D" w14:textId="65AB76A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417" w:type="dxa"/>
            <w:vAlign w:val="center"/>
          </w:tcPr>
          <w:p w14:paraId="19C48FF3" w14:textId="0E2A8D0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2 353,0</w:t>
            </w:r>
          </w:p>
        </w:tc>
      </w:tr>
      <w:tr w:rsidR="00E5645F" w:rsidRPr="0035269D" w14:paraId="76AF33B6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102A49A" w14:textId="2B3669F4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6D9DA1E8" w14:textId="1C462F6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417" w:type="dxa"/>
            <w:vAlign w:val="center"/>
          </w:tcPr>
          <w:p w14:paraId="65CD7D77" w14:textId="569DAF2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417" w:type="dxa"/>
            <w:vAlign w:val="center"/>
          </w:tcPr>
          <w:p w14:paraId="343880BA" w14:textId="2B10197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848,5</w:t>
            </w:r>
          </w:p>
        </w:tc>
      </w:tr>
      <w:tr w:rsidR="00E5645F" w:rsidRPr="0035269D" w14:paraId="29192672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3A5FCCA5" w14:textId="3DAB25CB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2257FABB" w14:textId="3FFBFE1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3E55ABD" w14:textId="4560A0F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4F3D402" w14:textId="28D1157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6384206C" w14:textId="77777777" w:rsidTr="005E4026">
        <w:trPr>
          <w:trHeight w:val="29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44E4B576" w14:textId="461DF1EC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b/>
                <w:color w:val="000000"/>
                <w:lang w:val="en-US"/>
              </w:rPr>
              <w:t xml:space="preserve">Financial derivatives (other than reserves) and employee stock options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6807964" w14:textId="6F649AA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704755" w14:textId="4702F381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5F783B2" w14:textId="7AA05DC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1,0</w:t>
            </w:r>
          </w:p>
        </w:tc>
      </w:tr>
      <w:tr w:rsidR="00E5645F" w:rsidRPr="0035269D" w14:paraId="3D15DCF1" w14:textId="77777777" w:rsidTr="005E4026">
        <w:trPr>
          <w:trHeight w:val="355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5EDCCA7D" w14:textId="1DBE305E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9832C8" w14:textId="723BC9C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37 259,9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EC7B34" w14:textId="4E6D205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45 505,4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917A83" w14:textId="31AD15D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46 816,7</w:t>
            </w:r>
          </w:p>
        </w:tc>
      </w:tr>
      <w:tr w:rsidR="00E5645F" w:rsidRPr="0035269D" w14:paraId="2792C99B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0AC9CBDE" w14:textId="0248777D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6DEE559" w14:textId="16F421E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F178CB5" w14:textId="3DBCB03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AC16029" w14:textId="381FB62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0695CEF5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5A650361" w14:textId="0AC217B2" w:rsidR="00E5645F" w:rsidRPr="00453E0D" w:rsidRDefault="00E5645F" w:rsidP="00E5645F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62832059" w14:textId="76352BB2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37 259,9</w:t>
            </w:r>
          </w:p>
        </w:tc>
        <w:tc>
          <w:tcPr>
            <w:tcW w:w="1417" w:type="dxa"/>
            <w:vAlign w:val="center"/>
          </w:tcPr>
          <w:p w14:paraId="2E76D1CF" w14:textId="01135B9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45 505,4</w:t>
            </w:r>
          </w:p>
        </w:tc>
        <w:tc>
          <w:tcPr>
            <w:tcW w:w="1417" w:type="dxa"/>
            <w:vAlign w:val="center"/>
          </w:tcPr>
          <w:p w14:paraId="485BD8B7" w14:textId="55AA66F7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46 816,7</w:t>
            </w:r>
          </w:p>
        </w:tc>
      </w:tr>
      <w:tr w:rsidR="00E5645F" w:rsidRPr="0035269D" w14:paraId="7D5F2BFB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3C3144C0" w14:textId="3564183F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lastRenderedPageBreak/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642B6426" w14:textId="0E87A1C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3E40413" w14:textId="1F686E6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6E0E934" w14:textId="6C1F68A9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645F" w:rsidRPr="0035269D" w14:paraId="5E41CF0C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7272FF3" w14:textId="76CF364E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D891979" w14:textId="5029A3E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417" w:type="dxa"/>
            <w:vAlign w:val="center"/>
          </w:tcPr>
          <w:p w14:paraId="42E8F12B" w14:textId="721D497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10 439,7</w:t>
            </w:r>
          </w:p>
        </w:tc>
        <w:tc>
          <w:tcPr>
            <w:tcW w:w="1417" w:type="dxa"/>
            <w:vAlign w:val="center"/>
          </w:tcPr>
          <w:p w14:paraId="4B502FAD" w14:textId="0E04677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10 841,9</w:t>
            </w:r>
          </w:p>
        </w:tc>
      </w:tr>
      <w:tr w:rsidR="00E5645F" w:rsidRPr="0035269D" w14:paraId="45A8DE6F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1DB0D8FA" w14:textId="296745B7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7916A04D" w14:textId="2E7854DF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417" w:type="dxa"/>
            <w:vAlign w:val="center"/>
          </w:tcPr>
          <w:p w14:paraId="30612570" w14:textId="54142D1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18 007,8</w:t>
            </w:r>
          </w:p>
        </w:tc>
        <w:tc>
          <w:tcPr>
            <w:tcW w:w="1417" w:type="dxa"/>
            <w:vAlign w:val="center"/>
          </w:tcPr>
          <w:p w14:paraId="0B0B2576" w14:textId="53E008C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18 579,7</w:t>
            </w:r>
          </w:p>
        </w:tc>
      </w:tr>
      <w:tr w:rsidR="00E5645F" w:rsidRPr="0035269D" w14:paraId="339A4CA0" w14:textId="77777777" w:rsidTr="005E4026">
        <w:trPr>
          <w:trHeight w:val="355"/>
        </w:trPr>
        <w:tc>
          <w:tcPr>
            <w:tcW w:w="5409" w:type="dxa"/>
            <w:vAlign w:val="center"/>
            <w:hideMark/>
          </w:tcPr>
          <w:p w14:paraId="7A6A157F" w14:textId="298D0B5B" w:rsidR="00E5645F" w:rsidRPr="00453E0D" w:rsidRDefault="00E5645F" w:rsidP="00E5645F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1D115585" w14:textId="25B2B6EC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15 203,2</w:t>
            </w:r>
          </w:p>
        </w:tc>
        <w:tc>
          <w:tcPr>
            <w:tcW w:w="1417" w:type="dxa"/>
            <w:vAlign w:val="center"/>
          </w:tcPr>
          <w:p w14:paraId="53F8BD29" w14:textId="777CDA33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17 058,0</w:t>
            </w:r>
          </w:p>
        </w:tc>
        <w:tc>
          <w:tcPr>
            <w:tcW w:w="1417" w:type="dxa"/>
            <w:vAlign w:val="center"/>
          </w:tcPr>
          <w:p w14:paraId="0CD3C787" w14:textId="26866F45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17 395,1</w:t>
            </w:r>
          </w:p>
        </w:tc>
      </w:tr>
      <w:tr w:rsidR="00E5645F" w:rsidRPr="0035269D" w14:paraId="43E580B9" w14:textId="77777777" w:rsidTr="005E4026">
        <w:trPr>
          <w:trHeight w:val="294"/>
        </w:trPr>
        <w:tc>
          <w:tcPr>
            <w:tcW w:w="5409" w:type="dxa"/>
            <w:vAlign w:val="center"/>
            <w:hideMark/>
          </w:tcPr>
          <w:p w14:paraId="417A7403" w14:textId="57A5BD24" w:rsidR="00E5645F" w:rsidRPr="00453E0D" w:rsidRDefault="00E5645F" w:rsidP="00E5645F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60A38646" w14:textId="32A6DF30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417" w:type="dxa"/>
            <w:vAlign w:val="center"/>
          </w:tcPr>
          <w:p w14:paraId="63FDEFB8" w14:textId="446FE28B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417" w:type="dxa"/>
            <w:vAlign w:val="center"/>
          </w:tcPr>
          <w:p w14:paraId="5818A101" w14:textId="676C98FA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114,1</w:t>
            </w:r>
          </w:p>
        </w:tc>
      </w:tr>
      <w:tr w:rsidR="00E5645F" w:rsidRPr="0035269D" w14:paraId="715E622E" w14:textId="77777777" w:rsidTr="005E4026">
        <w:trPr>
          <w:trHeight w:val="355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56881F7C" w14:textId="57166F63" w:rsidR="00E5645F" w:rsidRPr="00453E0D" w:rsidRDefault="00E5645F" w:rsidP="00E5645F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Net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investment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8E156BF" w14:textId="3E805948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16 818,1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919E190" w14:textId="2DE3DDED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18 944,8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7494811" w14:textId="4C439226" w:rsidR="00E5645F" w:rsidRPr="005E4026" w:rsidRDefault="00E5645F" w:rsidP="00E56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16 152,9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556D3E" w:rsidRDefault="00556D3E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556D3E" w:rsidRDefault="00556D3E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556D3E" w:rsidRPr="00D943C1" w:rsidRDefault="00556D3E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249C50B5" w:rsidR="00556D3E" w:rsidRPr="00D943C1" w:rsidRDefault="00556D3E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556D3E" w:rsidRDefault="00556D3E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556D3E" w:rsidRPr="00EB7814" w:rsidRDefault="00556D3E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249C50B5" w:rsidR="00556D3E" w:rsidRPr="00D943C1" w:rsidRDefault="00556D3E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556D3E" w:rsidRDefault="00556D3E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556D3E" w:rsidRPr="00EB7814" w:rsidRDefault="00556D3E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556D3E" w:rsidRDefault="00556D3E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556D3E" w:rsidRPr="00D943C1" w:rsidRDefault="00556D3E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556D3E" w:rsidRDefault="00556D3E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556D3E" w:rsidRPr="00EB7814" w:rsidRDefault="00556D3E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556D3E" w:rsidRPr="00D943C1" w:rsidRDefault="00556D3E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556D3E" w:rsidRDefault="00556D3E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556D3E" w:rsidRPr="00EB7814" w:rsidRDefault="00556D3E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556D3E" w:rsidRPr="00D943C1" w:rsidRDefault="00556D3E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0EDDB95B" w:rsidR="00556D3E" w:rsidRPr="00D943C1" w:rsidRDefault="00556D3E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305DC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9AB7C" w14:textId="77777777" w:rsidR="00556D3E" w:rsidRPr="00453E0D" w:rsidRDefault="00556D3E" w:rsidP="003430C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  <w:t>BALANCE OF PAYMENTS AND INTERNATIONAL INVESTMENT POSITION OF UZBEKISTAN</w:t>
                              </w:r>
                            </w:p>
                            <w:p w14:paraId="5870EC63" w14:textId="17E76B6A" w:rsidR="00556D3E" w:rsidRPr="00EB73DD" w:rsidRDefault="00556D3E" w:rsidP="003430C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 w:rsidRPr="00EB73D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QUARTERLY REPORT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I half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36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">
              <v:rect id="Прямоугольник 92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0EDDB95B" w:rsidR="00556D3E" w:rsidRPr="00D943C1" w:rsidRDefault="00556D3E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305DC8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6AD9AB7C" w14:textId="77777777" w:rsidR="00556D3E" w:rsidRPr="00453E0D" w:rsidRDefault="00556D3E" w:rsidP="003430C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  <w:t>BALANCE OF PAYMENTS AND INTERNATIONAL INVESTMENT POSITION OF UZBEKISTAN</w:t>
                        </w:r>
                      </w:p>
                      <w:p w14:paraId="5870EC63" w14:textId="17E76B6A" w:rsidR="00556D3E" w:rsidRPr="00EB73DD" w:rsidRDefault="00556D3E" w:rsidP="003430C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 w:rsidRPr="00EB73DD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QUARTERLY REPORT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I half of 2023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DF10" w14:textId="77777777" w:rsidR="00556D3E" w:rsidRDefault="00556D3E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706515D7" wp14:editId="7103DFAD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87C35" w14:textId="5A67D93A" w:rsidR="00556D3E" w:rsidRPr="00D943C1" w:rsidRDefault="00556D3E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305DC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99F47" w14:textId="77777777" w:rsidR="00556D3E" w:rsidRDefault="00556D3E" w:rsidP="003430C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3430C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BALANCE OF PAYMENTS AND INTERNATIONAL INVESTMENT POSITION OF UZBEKISTAN</w:t>
                              </w:r>
                            </w:p>
                            <w:p w14:paraId="3E804D15" w14:textId="38DC6A9F" w:rsidR="00556D3E" w:rsidRPr="00EB73DD" w:rsidRDefault="00556D3E" w:rsidP="003430C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 w:rsidRPr="00EB73D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QUARTERLY REPORT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I half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515D7" id="Группа 2" o:spid="_x0000_s1041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">
              <v:rect id="Прямоугольник 4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5FA87C35" w14:textId="5A67D93A" w:rsidR="00556D3E" w:rsidRPr="00D943C1" w:rsidRDefault="00556D3E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305DC8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1F499F47" w14:textId="77777777" w:rsidR="00556D3E" w:rsidRDefault="00556D3E" w:rsidP="003430C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3430C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BALANCE OF PAYMENTS AND INTERNATIONAL INVESTMENT POSITION OF UZBEKISTAN</w:t>
                        </w:r>
                      </w:p>
                      <w:p w14:paraId="3E804D15" w14:textId="38DC6A9F" w:rsidR="00556D3E" w:rsidRPr="00EB73DD" w:rsidRDefault="00556D3E" w:rsidP="003430C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 w:rsidRPr="00EB73DD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QUARTERLY REPORT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I half of 2023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24BE" w14:textId="6E9AF019" w:rsidR="00556D3E" w:rsidRPr="00EB73DD" w:rsidRDefault="00556D3E" w:rsidP="00EB73DD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4304" behindDoc="1" locked="0" layoutInCell="1" allowOverlap="1" wp14:anchorId="0E76711D" wp14:editId="70DE11D1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18" name="Прямоугольник 18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BC478" w14:textId="7BFF396A" w:rsidR="00556D3E" w:rsidRPr="00D943C1" w:rsidRDefault="00556D3E" w:rsidP="00EB73DD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5B4002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FD0ED3" w14:textId="77777777" w:rsidR="00556D3E" w:rsidRPr="00453E0D" w:rsidRDefault="00556D3E" w:rsidP="00EB73D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  <w:t>BALANCE OF PAYMENTS AND INTERNATIONAL INVESTMENT POSITION OF UZBEKISTAN</w:t>
                              </w:r>
                            </w:p>
                            <w:p w14:paraId="432EAFAF" w14:textId="6B42C060" w:rsidR="00556D3E" w:rsidRPr="00EB73DD" w:rsidRDefault="00556D3E" w:rsidP="00EB73D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QUARTERLY REPORT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I half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76711D" id="Группа 17" o:spid="_x0000_s1046" style="position:absolute;margin-left:-.75pt;margin-top:794.5pt;width:483.4pt;height:24.85pt;flip:x;z-index:-251442176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">
              <v:rect id="Прямоугольник 18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" fillcolor="#6b8068" strokecolor="#6b8068" strokeweight=".25pt">
                <v:textbox inset="0,0,0,0">
                  <w:txbxContent>
                    <w:p w14:paraId="608BC478" w14:textId="7BFF396A" w:rsidR="00556D3E" w:rsidRPr="00D943C1" w:rsidRDefault="00556D3E" w:rsidP="00EB73DD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5B4002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9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" filled="f" stroked="f" strokeweight=".5pt">
                  <v:textbox inset="0,0,0,0">
                    <w:txbxContent>
                      <w:p w14:paraId="6CFD0ED3" w14:textId="77777777" w:rsidR="00556D3E" w:rsidRPr="00453E0D" w:rsidRDefault="00556D3E" w:rsidP="00EB73D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  <w:t>BALANCE OF PAYMENTS AND INTERNATIONAL INVESTMENT POSITION OF UZBEKISTAN</w:t>
                        </w:r>
                      </w:p>
                      <w:p w14:paraId="432EAFAF" w14:textId="6B42C060" w:rsidR="00556D3E" w:rsidRPr="00EB73DD" w:rsidRDefault="00556D3E" w:rsidP="00EB73D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QUARTERLY REPORT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I half of 2023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556D3E" w:rsidRDefault="00556D3E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556D3E" w:rsidRDefault="00556D3E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77573BF5" w:rsidR="00556D3E" w:rsidRPr="007500E9" w:rsidRDefault="00556D3E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  <w:lang w:val="en-US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53E0D"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  <w:p w14:paraId="71B07C18" w14:textId="77777777" w:rsidR="00556D3E" w:rsidRPr="00453E0D" w:rsidRDefault="00556D3E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556D3E" w:rsidRDefault="00556D3E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556D3E" w:rsidRDefault="00556D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7849FFD0" w:rsidR="00556D3E" w:rsidRPr="007500E9" w:rsidRDefault="00556D3E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  <w:lang w:val="en-US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53E0D"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  <w:p w14:paraId="0335CD5D" w14:textId="77777777" w:rsidR="00556D3E" w:rsidRPr="00453E0D" w:rsidRDefault="00556D3E">
    <w:pPr>
      <w:pStyle w:val="a5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551D9423" w:rsidR="00556D3E" w:rsidRPr="00453E0D" w:rsidRDefault="00556D3E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  <w:lang w:val="en-US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</w:t>
    </w:r>
    <w:r w:rsidRPr="00453E0D">
      <w:rPr>
        <w:rFonts w:ascii="Arial" w:hAnsi="Arial" w:cs="Arial"/>
        <w:color w:val="6B8068"/>
        <w:sz w:val="20"/>
        <w:lang w:val="uz-Cyrl-UZ"/>
      </w:rPr>
      <w:t>THE CENTRAL BANK OF THE REPUBLIC OF UZBEKISTAN</w:t>
    </w:r>
  </w:p>
  <w:p w14:paraId="4F1ECAF9" w14:textId="1874EC75" w:rsidR="00556D3E" w:rsidRPr="00453E0D" w:rsidRDefault="00556D3E" w:rsidP="009C3F84">
    <w:pPr>
      <w:pStyle w:val="a5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4B622A1F" w:rsidR="00556D3E" w:rsidRPr="00EB73DD" w:rsidRDefault="00556D3E" w:rsidP="00EB73DD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0E08D7DC" wp14:editId="044DCC05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097C1" id="Прямая соединительная линия 1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jwCgIAADE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24869237"/>
        <w:placeholder>
          <w:docPart w:val="1447818343254BBCACC5548115E323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32043"/>
    <w:rsid w:val="00041713"/>
    <w:rsid w:val="0004285F"/>
    <w:rsid w:val="000511D7"/>
    <w:rsid w:val="000512BB"/>
    <w:rsid w:val="0005145A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E5C5C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A7B82"/>
    <w:rsid w:val="001B0879"/>
    <w:rsid w:val="001B1EA5"/>
    <w:rsid w:val="001B3038"/>
    <w:rsid w:val="001B46C2"/>
    <w:rsid w:val="001B5D7B"/>
    <w:rsid w:val="001B7EB6"/>
    <w:rsid w:val="001D0A6B"/>
    <w:rsid w:val="001D0B4F"/>
    <w:rsid w:val="001D2A42"/>
    <w:rsid w:val="001D36A5"/>
    <w:rsid w:val="001D4870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05DC8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30CD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75B53"/>
    <w:rsid w:val="0038025A"/>
    <w:rsid w:val="00380E4A"/>
    <w:rsid w:val="0038462E"/>
    <w:rsid w:val="003870AE"/>
    <w:rsid w:val="00392D99"/>
    <w:rsid w:val="00393591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37D6"/>
    <w:rsid w:val="004257F7"/>
    <w:rsid w:val="00427B84"/>
    <w:rsid w:val="00427E11"/>
    <w:rsid w:val="004302D2"/>
    <w:rsid w:val="0043053B"/>
    <w:rsid w:val="00432D40"/>
    <w:rsid w:val="004334F7"/>
    <w:rsid w:val="00437E35"/>
    <w:rsid w:val="00446583"/>
    <w:rsid w:val="00446F70"/>
    <w:rsid w:val="00450D19"/>
    <w:rsid w:val="00451EF4"/>
    <w:rsid w:val="00452216"/>
    <w:rsid w:val="00453827"/>
    <w:rsid w:val="00453E0D"/>
    <w:rsid w:val="004549E0"/>
    <w:rsid w:val="004703C9"/>
    <w:rsid w:val="00475824"/>
    <w:rsid w:val="00483F4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417F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0BDF"/>
    <w:rsid w:val="00541426"/>
    <w:rsid w:val="00543B52"/>
    <w:rsid w:val="00544C9C"/>
    <w:rsid w:val="00545CE8"/>
    <w:rsid w:val="0055360D"/>
    <w:rsid w:val="00554992"/>
    <w:rsid w:val="005553EC"/>
    <w:rsid w:val="00555A2C"/>
    <w:rsid w:val="00556D3E"/>
    <w:rsid w:val="00557A06"/>
    <w:rsid w:val="00560EBC"/>
    <w:rsid w:val="005619BD"/>
    <w:rsid w:val="00563083"/>
    <w:rsid w:val="00564DD1"/>
    <w:rsid w:val="005708AF"/>
    <w:rsid w:val="00570A1F"/>
    <w:rsid w:val="00571F75"/>
    <w:rsid w:val="0057243C"/>
    <w:rsid w:val="00572F74"/>
    <w:rsid w:val="00575327"/>
    <w:rsid w:val="00581B73"/>
    <w:rsid w:val="0058230E"/>
    <w:rsid w:val="00587CA2"/>
    <w:rsid w:val="00591C46"/>
    <w:rsid w:val="005A0236"/>
    <w:rsid w:val="005A0EC4"/>
    <w:rsid w:val="005A2234"/>
    <w:rsid w:val="005A4363"/>
    <w:rsid w:val="005B0F6E"/>
    <w:rsid w:val="005B1851"/>
    <w:rsid w:val="005B4002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BA9"/>
    <w:rsid w:val="00604CEF"/>
    <w:rsid w:val="00610808"/>
    <w:rsid w:val="00610D79"/>
    <w:rsid w:val="00614AFB"/>
    <w:rsid w:val="006158E0"/>
    <w:rsid w:val="006169BA"/>
    <w:rsid w:val="00617770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B65"/>
    <w:rsid w:val="006C7148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2363"/>
    <w:rsid w:val="00713BBC"/>
    <w:rsid w:val="007176D7"/>
    <w:rsid w:val="00720043"/>
    <w:rsid w:val="00720561"/>
    <w:rsid w:val="007312F8"/>
    <w:rsid w:val="0073793A"/>
    <w:rsid w:val="00742312"/>
    <w:rsid w:val="00742C62"/>
    <w:rsid w:val="007500E9"/>
    <w:rsid w:val="0075437F"/>
    <w:rsid w:val="00754599"/>
    <w:rsid w:val="007622F9"/>
    <w:rsid w:val="00765DB5"/>
    <w:rsid w:val="007732E4"/>
    <w:rsid w:val="00773887"/>
    <w:rsid w:val="00773CC7"/>
    <w:rsid w:val="00780149"/>
    <w:rsid w:val="00781726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59E5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80C58"/>
    <w:rsid w:val="009825EF"/>
    <w:rsid w:val="0098282E"/>
    <w:rsid w:val="00982AEC"/>
    <w:rsid w:val="00992F03"/>
    <w:rsid w:val="0099731C"/>
    <w:rsid w:val="009A28C1"/>
    <w:rsid w:val="009A3BFD"/>
    <w:rsid w:val="009A60E3"/>
    <w:rsid w:val="009B1E10"/>
    <w:rsid w:val="009B3E3B"/>
    <w:rsid w:val="009B588D"/>
    <w:rsid w:val="009B6022"/>
    <w:rsid w:val="009B7C2B"/>
    <w:rsid w:val="009C12F1"/>
    <w:rsid w:val="009C3F84"/>
    <w:rsid w:val="009C4311"/>
    <w:rsid w:val="009C7172"/>
    <w:rsid w:val="009C7B25"/>
    <w:rsid w:val="009D353A"/>
    <w:rsid w:val="009D3F7D"/>
    <w:rsid w:val="009D6347"/>
    <w:rsid w:val="009D7CF0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C238F"/>
    <w:rsid w:val="00AD0CDB"/>
    <w:rsid w:val="00AD0D92"/>
    <w:rsid w:val="00AD2704"/>
    <w:rsid w:val="00AD2B5C"/>
    <w:rsid w:val="00AE2727"/>
    <w:rsid w:val="00AF2836"/>
    <w:rsid w:val="00AF6B33"/>
    <w:rsid w:val="00AF6DA4"/>
    <w:rsid w:val="00AF7BBB"/>
    <w:rsid w:val="00B03778"/>
    <w:rsid w:val="00B03896"/>
    <w:rsid w:val="00B06E1D"/>
    <w:rsid w:val="00B101B7"/>
    <w:rsid w:val="00B1223F"/>
    <w:rsid w:val="00B40B43"/>
    <w:rsid w:val="00B44594"/>
    <w:rsid w:val="00B45B81"/>
    <w:rsid w:val="00B545A6"/>
    <w:rsid w:val="00B6348F"/>
    <w:rsid w:val="00B63630"/>
    <w:rsid w:val="00B666ED"/>
    <w:rsid w:val="00B67C1D"/>
    <w:rsid w:val="00B8176B"/>
    <w:rsid w:val="00B81784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D5E0D"/>
    <w:rsid w:val="00BE26BA"/>
    <w:rsid w:val="00BE2CCB"/>
    <w:rsid w:val="00BE2DD6"/>
    <w:rsid w:val="00BE50C4"/>
    <w:rsid w:val="00BE6159"/>
    <w:rsid w:val="00BE7E25"/>
    <w:rsid w:val="00BF234A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4288"/>
    <w:rsid w:val="00D66713"/>
    <w:rsid w:val="00D72159"/>
    <w:rsid w:val="00D72893"/>
    <w:rsid w:val="00D818E3"/>
    <w:rsid w:val="00D877E0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CE6"/>
    <w:rsid w:val="00E25201"/>
    <w:rsid w:val="00E25CDE"/>
    <w:rsid w:val="00E262D3"/>
    <w:rsid w:val="00E27DD1"/>
    <w:rsid w:val="00E30BA7"/>
    <w:rsid w:val="00E37945"/>
    <w:rsid w:val="00E40A31"/>
    <w:rsid w:val="00E440F0"/>
    <w:rsid w:val="00E44309"/>
    <w:rsid w:val="00E46789"/>
    <w:rsid w:val="00E50C2E"/>
    <w:rsid w:val="00E5645F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B1E96"/>
    <w:rsid w:val="00EB5168"/>
    <w:rsid w:val="00EB6ADE"/>
    <w:rsid w:val="00EB73DD"/>
    <w:rsid w:val="00EB7814"/>
    <w:rsid w:val="00EB78E0"/>
    <w:rsid w:val="00EC167D"/>
    <w:rsid w:val="00EC3831"/>
    <w:rsid w:val="00EC6CE7"/>
    <w:rsid w:val="00ED0AE2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1447818343254BBCACC5548115E32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47BEB-FD63-4883-AEA9-FDE2ACB10C83}"/>
      </w:docPartPr>
      <w:docPartBody>
        <w:p w:rsidR="00E47975" w:rsidRDefault="00E47975" w:rsidP="00E47975">
          <w:pPr>
            <w:pStyle w:val="1447818343254BBCACC5548115E32393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C3E82"/>
    <w:rsid w:val="00312702"/>
    <w:rsid w:val="003678D7"/>
    <w:rsid w:val="003A7A44"/>
    <w:rsid w:val="003E4F96"/>
    <w:rsid w:val="004133DE"/>
    <w:rsid w:val="00462B57"/>
    <w:rsid w:val="00496150"/>
    <w:rsid w:val="004A33FE"/>
    <w:rsid w:val="004B29B3"/>
    <w:rsid w:val="00517DF5"/>
    <w:rsid w:val="005873C3"/>
    <w:rsid w:val="005E3B82"/>
    <w:rsid w:val="0061672B"/>
    <w:rsid w:val="006528E1"/>
    <w:rsid w:val="00682DFC"/>
    <w:rsid w:val="006F390D"/>
    <w:rsid w:val="007C6322"/>
    <w:rsid w:val="007F70DD"/>
    <w:rsid w:val="00856F38"/>
    <w:rsid w:val="00897D3C"/>
    <w:rsid w:val="008B11CA"/>
    <w:rsid w:val="008D6192"/>
    <w:rsid w:val="00950234"/>
    <w:rsid w:val="00A06F08"/>
    <w:rsid w:val="00B20C40"/>
    <w:rsid w:val="00B3077B"/>
    <w:rsid w:val="00B6276A"/>
    <w:rsid w:val="00B73D90"/>
    <w:rsid w:val="00B972B9"/>
    <w:rsid w:val="00BE3CA6"/>
    <w:rsid w:val="00C422E8"/>
    <w:rsid w:val="00C807CD"/>
    <w:rsid w:val="00D00C74"/>
    <w:rsid w:val="00D12F71"/>
    <w:rsid w:val="00DC4517"/>
    <w:rsid w:val="00E47975"/>
    <w:rsid w:val="00E93DE8"/>
    <w:rsid w:val="00EB7F67"/>
    <w:rsid w:val="00F10912"/>
    <w:rsid w:val="00F50BDD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1447818343254BBCACC5548115E32393">
    <w:name w:val="1447818343254BBCACC5548115E32393"/>
    <w:rsid w:val="00E47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A3FA6E-BEF2-4ACA-B8DF-6608357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CENTRAL BANK OF THE REPUBLIC OF UZBEKISTAN</dc:creator>
  <cp:keywords/>
  <dc:description/>
  <cp:lastModifiedBy>Xayitboyev Sherzod</cp:lastModifiedBy>
  <cp:revision>82</cp:revision>
  <cp:lastPrinted>2023-06-20T15:41:00Z</cp:lastPrinted>
  <dcterms:created xsi:type="dcterms:W3CDTF">2023-03-27T14:23:00Z</dcterms:created>
  <dcterms:modified xsi:type="dcterms:W3CDTF">2023-09-22T12:02:00Z</dcterms:modified>
</cp:coreProperties>
</file>