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39" w:rsidRPr="00287639" w:rsidRDefault="00287639" w:rsidP="00287639">
      <w:pPr>
        <w:pStyle w:val="1"/>
        <w:keepNext w:val="0"/>
        <w:pageBreakBefore/>
        <w:widowControl w:val="0"/>
        <w:rPr>
          <w:rFonts w:ascii="Times New Roman" w:hAnsi="Times New Roman"/>
          <w:color w:val="002060"/>
          <w:sz w:val="40"/>
          <w:szCs w:val="40"/>
          <w:lang w:val="uz-Cyrl-UZ"/>
        </w:rPr>
      </w:pPr>
      <w:r w:rsidRPr="00287639">
        <w:rPr>
          <w:rFonts w:ascii="Times New Roman" w:hAnsi="Times New Roman"/>
          <w:color w:val="002060"/>
          <w:sz w:val="40"/>
          <w:szCs w:val="40"/>
          <w:lang w:val="uz-Cyrl-UZ"/>
        </w:rPr>
        <w:t>ОБЗОР ПЛАТЕЖНОЙ СИСТЕМЫ</w:t>
      </w:r>
    </w:p>
    <w:p w:rsidR="00287639" w:rsidRDefault="00287639" w:rsidP="00287639">
      <w:pPr>
        <w:jc w:val="center"/>
        <w:rPr>
          <w:rFonts w:ascii="Times New Roman" w:hAnsi="Times New Roman"/>
          <w:i/>
          <w:sz w:val="24"/>
          <w:szCs w:val="24"/>
          <w:lang w:val="uz-Cyrl-UZ"/>
        </w:rPr>
      </w:pPr>
      <w:r>
        <w:rPr>
          <w:rFonts w:ascii="Times New Roman" w:hAnsi="Times New Roman"/>
          <w:i/>
          <w:sz w:val="24"/>
          <w:szCs w:val="24"/>
          <w:lang w:val="uz-Cyrl-UZ"/>
        </w:rPr>
        <w:t xml:space="preserve">(по итогам 1 квартала 2019 года) </w:t>
      </w:r>
    </w:p>
    <w:p w:rsidR="00287639" w:rsidRPr="000A3F32"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sidRPr="000A3F32">
        <w:rPr>
          <w:rFonts w:ascii="Times New Roman" w:hAnsi="Times New Roman"/>
          <w:color w:val="000000"/>
          <w:sz w:val="28"/>
          <w:szCs w:val="28"/>
          <w:lang w:val="uz-Cyrl-UZ"/>
        </w:rPr>
        <w:t>В первом квартале по направлению развития платежных систем</w:t>
      </w:r>
      <w:r w:rsidR="000A3F32" w:rsidRPr="000A3F32">
        <w:rPr>
          <w:rFonts w:ascii="Times New Roman" w:hAnsi="Times New Roman"/>
          <w:color w:val="000000"/>
          <w:sz w:val="28"/>
          <w:szCs w:val="28"/>
          <w:lang w:val="uz-Cyrl-UZ"/>
        </w:rPr>
        <w:br/>
      </w:r>
      <w:r w:rsidRPr="000A3F32">
        <w:rPr>
          <w:rFonts w:ascii="Times New Roman" w:hAnsi="Times New Roman"/>
          <w:color w:val="000000"/>
          <w:sz w:val="28"/>
          <w:szCs w:val="28"/>
          <w:lang w:val="uz-Cyrl-UZ"/>
        </w:rPr>
        <w:t>и финансовых информационно-коммуникационных технологий в банковской сфере осуществлены соответствующие работы.</w:t>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В соответствии с Указом Президента Республики Узбекистан</w:t>
      </w:r>
      <w:r w:rsidR="000A3F32">
        <w:rPr>
          <w:rFonts w:ascii="Times New Roman" w:hAnsi="Times New Roman"/>
          <w:color w:val="000000"/>
          <w:sz w:val="28"/>
          <w:szCs w:val="28"/>
          <w:lang w:val="uz-Cyrl-UZ"/>
        </w:rPr>
        <w:br/>
      </w:r>
      <w:r>
        <w:rPr>
          <w:rFonts w:ascii="Times New Roman" w:hAnsi="Times New Roman"/>
          <w:color w:val="000000"/>
          <w:sz w:val="28"/>
          <w:szCs w:val="28"/>
          <w:lang w:val="uz-Cyrl-UZ"/>
        </w:rPr>
        <w:t>от 9</w:t>
      </w:r>
      <w:r w:rsidR="000A3F32">
        <w:rPr>
          <w:rFonts w:ascii="Times New Roman" w:hAnsi="Times New Roman"/>
          <w:color w:val="000000"/>
          <w:sz w:val="28"/>
          <w:szCs w:val="28"/>
          <w:lang w:val="uz-Cyrl-UZ"/>
        </w:rPr>
        <w:t xml:space="preserve"> </w:t>
      </w:r>
      <w:r>
        <w:rPr>
          <w:rFonts w:ascii="Times New Roman" w:hAnsi="Times New Roman"/>
          <w:color w:val="000000"/>
          <w:sz w:val="28"/>
          <w:szCs w:val="28"/>
          <w:lang w:val="uz-Cyrl-UZ"/>
        </w:rPr>
        <w:t>января 2018 года №УП</w:t>
      </w:r>
      <w:r w:rsidR="000A3F32" w:rsidRPr="000A3F32">
        <w:rPr>
          <w:rFonts w:ascii="Times New Roman" w:hAnsi="Times New Roman"/>
          <w:color w:val="000000"/>
          <w:sz w:val="28"/>
          <w:szCs w:val="28"/>
          <w:lang w:val="uz-Cyrl-UZ"/>
        </w:rPr>
        <w:t>–</w:t>
      </w:r>
      <w:r>
        <w:rPr>
          <w:rFonts w:ascii="Times New Roman" w:hAnsi="Times New Roman"/>
          <w:color w:val="000000"/>
          <w:sz w:val="28"/>
          <w:szCs w:val="28"/>
          <w:lang w:val="uz-Cyrl-UZ"/>
        </w:rPr>
        <w:t>5296 «О мерах по коренному совершенствованию деятельности Центрального банка Республики Узбекистан» одним из стратегических целевых направлений деятельности Центрального банка определено обеспечение стабильности и развития платежной системы.</w:t>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Во исполнение Постановления Президента Республики Узбекистан</w:t>
      </w:r>
      <w:r w:rsidR="000A3F32">
        <w:rPr>
          <w:rFonts w:ascii="Times New Roman" w:hAnsi="Times New Roman"/>
          <w:color w:val="000000"/>
          <w:sz w:val="28"/>
          <w:szCs w:val="28"/>
          <w:lang w:val="uz-Cyrl-UZ"/>
        </w:rPr>
        <w:br/>
      </w:r>
      <w:r>
        <w:rPr>
          <w:rFonts w:ascii="Times New Roman" w:hAnsi="Times New Roman"/>
          <w:color w:val="000000"/>
          <w:sz w:val="28"/>
          <w:szCs w:val="28"/>
          <w:lang w:val="uz-Cyrl-UZ"/>
        </w:rPr>
        <w:t>от 19 сентября 2018 года №ПП</w:t>
      </w:r>
      <w:r w:rsidR="000A3F32">
        <w:rPr>
          <w:rFonts w:ascii="Times New Roman" w:hAnsi="Times New Roman"/>
          <w:sz w:val="28"/>
          <w:szCs w:val="28"/>
        </w:rPr>
        <w:t>–</w:t>
      </w:r>
      <w:r>
        <w:rPr>
          <w:rFonts w:ascii="Times New Roman" w:hAnsi="Times New Roman"/>
          <w:color w:val="000000"/>
          <w:sz w:val="28"/>
          <w:szCs w:val="28"/>
          <w:lang w:val="uz-Cyrl-UZ"/>
        </w:rPr>
        <w:t>3945 «О мерах по развитию национальной платежной системы» в отчетном периоде выполнены работы по созданию</w:t>
      </w:r>
      <w:r w:rsidR="000A3F32">
        <w:rPr>
          <w:rFonts w:ascii="Times New Roman" w:hAnsi="Times New Roman"/>
          <w:color w:val="000000"/>
          <w:sz w:val="28"/>
          <w:szCs w:val="28"/>
          <w:lang w:val="uz-Cyrl-UZ"/>
        </w:rPr>
        <w:br/>
      </w:r>
      <w:r>
        <w:rPr>
          <w:rFonts w:ascii="Times New Roman" w:hAnsi="Times New Roman"/>
          <w:color w:val="000000"/>
          <w:sz w:val="28"/>
          <w:szCs w:val="28"/>
          <w:lang w:val="uz-Cyrl-UZ"/>
        </w:rPr>
        <w:t>и организации деятельности «Национального межбанковского процессингового центра».</w:t>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В Постановлении Президента Республики Узбекистан от 23</w:t>
      </w:r>
      <w:r w:rsidR="000A3F32">
        <w:rPr>
          <w:rFonts w:ascii="Times New Roman" w:hAnsi="Times New Roman"/>
          <w:color w:val="000000"/>
          <w:sz w:val="28"/>
          <w:szCs w:val="28"/>
          <w:lang w:val="uz-Cyrl-UZ"/>
        </w:rPr>
        <w:t xml:space="preserve"> </w:t>
      </w:r>
      <w:r>
        <w:rPr>
          <w:rFonts w:ascii="Times New Roman" w:hAnsi="Times New Roman"/>
          <w:color w:val="000000"/>
          <w:sz w:val="28"/>
          <w:szCs w:val="28"/>
          <w:lang w:val="uz-Cyrl-UZ"/>
        </w:rPr>
        <w:t>марта 2018 года №ПП</w:t>
      </w:r>
      <w:r w:rsidR="000A3F32" w:rsidRPr="000A3F32">
        <w:rPr>
          <w:rFonts w:ascii="Times New Roman" w:hAnsi="Times New Roman"/>
          <w:color w:val="000000"/>
          <w:sz w:val="28"/>
          <w:szCs w:val="28"/>
          <w:lang w:val="uz-Cyrl-UZ"/>
        </w:rPr>
        <w:t>–</w:t>
      </w:r>
      <w:r>
        <w:rPr>
          <w:rFonts w:ascii="Times New Roman" w:hAnsi="Times New Roman"/>
          <w:color w:val="000000"/>
          <w:sz w:val="28"/>
          <w:szCs w:val="28"/>
          <w:lang w:val="uz-Cyrl-UZ"/>
        </w:rPr>
        <w:t>3620 «О дополнительных мерах по повышению доступности банковских услуг» коммерческим банкам возложены задачи по внедрению</w:t>
      </w:r>
      <w:r w:rsidR="000A3F32">
        <w:rPr>
          <w:rFonts w:ascii="Times New Roman" w:hAnsi="Times New Roman"/>
          <w:color w:val="000000"/>
          <w:sz w:val="28"/>
          <w:szCs w:val="28"/>
          <w:lang w:val="uz-Cyrl-UZ"/>
        </w:rPr>
        <w:br/>
      </w:r>
      <w:r>
        <w:rPr>
          <w:rFonts w:ascii="Times New Roman" w:hAnsi="Times New Roman"/>
          <w:color w:val="000000"/>
          <w:sz w:val="28"/>
          <w:szCs w:val="28"/>
          <w:lang w:val="uz-Cyrl-UZ"/>
        </w:rPr>
        <w:t>в практику новых видов банковских услуг и продуктов.</w:t>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Также в  отчетном периоде осуществлена работа по выполнению мер, определенных в “Концепции развития цифрового банкинга в период</w:t>
      </w:r>
      <w:r w:rsidR="000A3F32">
        <w:rPr>
          <w:rFonts w:ascii="Times New Roman" w:hAnsi="Times New Roman"/>
          <w:color w:val="000000"/>
          <w:sz w:val="28"/>
          <w:szCs w:val="28"/>
          <w:lang w:val="uz-Cyrl-UZ"/>
        </w:rPr>
        <w:br/>
      </w:r>
      <w:r>
        <w:rPr>
          <w:rFonts w:ascii="Times New Roman" w:hAnsi="Times New Roman"/>
          <w:color w:val="000000"/>
          <w:sz w:val="28"/>
          <w:szCs w:val="28"/>
          <w:lang w:val="uz-Cyrl-UZ"/>
        </w:rPr>
        <w:t>2018</w:t>
      </w:r>
      <w:r w:rsidR="000A3F32">
        <w:rPr>
          <w:rFonts w:ascii="Times New Roman" w:hAnsi="Times New Roman"/>
          <w:sz w:val="28"/>
          <w:szCs w:val="28"/>
        </w:rPr>
        <w:t>–</w:t>
      </w:r>
      <w:r>
        <w:rPr>
          <w:rFonts w:ascii="Times New Roman" w:hAnsi="Times New Roman"/>
          <w:color w:val="000000"/>
          <w:sz w:val="28"/>
          <w:szCs w:val="28"/>
          <w:lang w:val="uz-Cyrl-UZ"/>
        </w:rPr>
        <w:t>2020 годы в Республике Узбекистан”, согласованного с Министерством по развитию информационных технологий и коммуникаций.</w:t>
      </w:r>
    </w:p>
    <w:p w:rsidR="00287639" w:rsidRDefault="00287639" w:rsidP="00287639">
      <w:pPr>
        <w:autoSpaceDE w:val="0"/>
        <w:autoSpaceDN w:val="0"/>
        <w:adjustRightInd w:val="0"/>
        <w:spacing w:after="0" w:line="240" w:lineRule="auto"/>
        <w:ind w:firstLine="709"/>
        <w:jc w:val="both"/>
        <w:rPr>
          <w:rFonts w:ascii="Tahoma" w:eastAsiaTheme="minorHAnsi" w:hAnsi="Tahoma" w:cs="Tahoma"/>
          <w:noProof/>
          <w:sz w:val="28"/>
          <w:szCs w:val="28"/>
        </w:rPr>
      </w:pPr>
    </w:p>
    <w:p w:rsidR="00287639" w:rsidRDefault="00287639" w:rsidP="00287639">
      <w:pPr>
        <w:pStyle w:val="a5"/>
        <w:numPr>
          <w:ilvl w:val="0"/>
          <w:numId w:val="4"/>
        </w:numPr>
        <w:tabs>
          <w:tab w:val="left" w:pos="567"/>
        </w:tabs>
        <w:spacing w:after="0" w:line="240" w:lineRule="auto"/>
        <w:ind w:left="0" w:firstLine="0"/>
        <w:jc w:val="center"/>
        <w:rPr>
          <w:rFonts w:ascii="Times New Roman" w:hAnsi="Times New Roman"/>
          <w:b/>
          <w:sz w:val="28"/>
          <w:szCs w:val="28"/>
          <w:lang w:val="uz-Cyrl-UZ"/>
        </w:rPr>
      </w:pPr>
      <w:r>
        <w:rPr>
          <w:rFonts w:ascii="Times New Roman" w:hAnsi="Times New Roman"/>
          <w:b/>
          <w:sz w:val="28"/>
          <w:szCs w:val="28"/>
          <w:lang w:val="uz-Cyrl-UZ"/>
        </w:rPr>
        <w:t>Анализ деятельности Межбанковской платежной системы Центрального банка</w:t>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Безошибочное указание реквизитов в электронных платежных документах, проводимых через Межбанковскую платежную систему, в том числе сведений о расчетных счетах клиентов, является основанием для своевременного проведения платежей.</w:t>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В связи с этим, созданная в целях выдачи уникалных кодов клиентам банков и хранения информации о банковских счетах клиентов Национальная информационная база банковских депозиторов (НИББД) имеет важное значение в этих процессах.</w:t>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lastRenderedPageBreak/>
        <w:t xml:space="preserve">В связи с полной автоматизацией работы НИББД, обеспечена автоматизированная обработка запросов, получаемых с банков без влияния человеческого фактора в короткий промежуток времени. Исходя из анализа количества активных клиентов и их счетов зарегистрированных в НИББД, можно наблюдать их </w:t>
      </w:r>
      <w:r>
        <w:rPr>
          <w:rFonts w:ascii="Times New Roman" w:hAnsi="Times New Roman"/>
          <w:sz w:val="28"/>
          <w:szCs w:val="28"/>
          <w:lang w:val="uz-Cyrl-UZ"/>
        </w:rPr>
        <w:t>регулярный</w:t>
      </w:r>
      <w:r>
        <w:rPr>
          <w:rFonts w:ascii="Times New Roman" w:hAnsi="Times New Roman"/>
          <w:color w:val="000000"/>
          <w:sz w:val="28"/>
          <w:szCs w:val="28"/>
          <w:lang w:val="uz-Cyrl-UZ"/>
        </w:rPr>
        <w:t xml:space="preserve"> рост</w:t>
      </w:r>
      <w:r>
        <w:rPr>
          <w:rFonts w:ascii="Times New Roman" w:hAnsi="Times New Roman"/>
          <w:color w:val="FF0000"/>
          <w:sz w:val="28"/>
          <w:szCs w:val="28"/>
          <w:lang w:val="uz-Cyrl-UZ"/>
        </w:rPr>
        <w:t xml:space="preserve"> </w:t>
      </w:r>
      <w:r>
        <w:rPr>
          <w:rFonts w:ascii="Times New Roman" w:hAnsi="Times New Roman"/>
          <w:i/>
          <w:color w:val="000000"/>
          <w:sz w:val="28"/>
          <w:szCs w:val="28"/>
          <w:lang w:val="uz-Cyrl-UZ"/>
        </w:rPr>
        <w:t>(1-й рисунок)</w:t>
      </w:r>
      <w:r>
        <w:rPr>
          <w:rFonts w:ascii="Times New Roman" w:hAnsi="Times New Roman"/>
          <w:color w:val="000000"/>
          <w:sz w:val="28"/>
          <w:szCs w:val="28"/>
          <w:lang w:val="uz-Cyrl-UZ"/>
        </w:rPr>
        <w:t>.</w:t>
      </w:r>
    </w:p>
    <w:p w:rsidR="00287639" w:rsidRDefault="00287639" w:rsidP="00287639">
      <w:pPr>
        <w:spacing w:after="0"/>
        <w:ind w:right="425"/>
        <w:jc w:val="right"/>
        <w:rPr>
          <w:rFonts w:ascii="Times New Roman" w:hAnsi="Times New Roman"/>
          <w:i/>
          <w:sz w:val="24"/>
          <w:szCs w:val="24"/>
        </w:rPr>
      </w:pPr>
      <w:r>
        <w:rPr>
          <w:rFonts w:ascii="Times New Roman" w:hAnsi="Times New Roman"/>
          <w:i/>
          <w:sz w:val="24"/>
          <w:szCs w:val="24"/>
          <w:lang w:val="uz-Cyrl-UZ"/>
        </w:rPr>
        <w:t>1-</w:t>
      </w:r>
      <w:r>
        <w:rPr>
          <w:rFonts w:ascii="Times New Roman" w:hAnsi="Times New Roman"/>
          <w:i/>
          <w:sz w:val="24"/>
          <w:szCs w:val="24"/>
        </w:rPr>
        <w:t>рисунок</w:t>
      </w:r>
    </w:p>
    <w:p w:rsidR="00287639" w:rsidRDefault="00744191" w:rsidP="00287639">
      <w:pPr>
        <w:jc w:val="center"/>
        <w:rPr>
          <w:lang w:val="uz-Cyrl-UZ"/>
        </w:rPr>
      </w:pPr>
      <w:r>
        <w:pict>
          <v:shapetype id="_x0000_t202" coordsize="21600,21600" o:spt="202" path="m,l,21600r21600,l21600,xe">
            <v:stroke joinstyle="miter"/>
            <v:path gradientshapeok="t" o:connecttype="rect"/>
          </v:shapetype>
          <v:shape id="_x0000_s1082" type="#_x0000_t202" style="position:absolute;left:0;text-align:left;margin-left:98.7pt;margin-top:229.65pt;width:66.2pt;height:19.65pt;z-index:251649536;mso-width-relative:margin;mso-height-relative:margin" strokecolor="white [3212]">
            <v:textbox>
              <w:txbxContent>
                <w:p w:rsidR="00287639" w:rsidRDefault="00287639" w:rsidP="00287639">
                  <w:pPr>
                    <w:rPr>
                      <w:sz w:val="20"/>
                      <w:szCs w:val="20"/>
                      <w:lang w:val="uz-Cyrl-UZ"/>
                    </w:rPr>
                  </w:pPr>
                  <w:r>
                    <w:rPr>
                      <w:sz w:val="20"/>
                      <w:szCs w:val="20"/>
                      <w:lang w:val="uz-Cyrl-UZ"/>
                    </w:rPr>
                    <w:t>01.01.2018</w:t>
                  </w:r>
                </w:p>
              </w:txbxContent>
            </v:textbox>
          </v:shape>
        </w:pict>
      </w:r>
      <w:r>
        <w:pict>
          <v:shape id="_x0000_s1083" type="#_x0000_t202" style="position:absolute;left:0;text-align:left;margin-left:194.15pt;margin-top:232pt;width:66.2pt;height:17.3pt;z-index:251648512;mso-width-relative:margin;mso-height-relative:margin" stroked="f">
            <v:textbox>
              <w:txbxContent>
                <w:p w:rsidR="00287639" w:rsidRDefault="00287639" w:rsidP="00287639">
                  <w:pPr>
                    <w:rPr>
                      <w:sz w:val="20"/>
                      <w:szCs w:val="20"/>
                      <w:lang w:val="uz-Cyrl-UZ"/>
                    </w:rPr>
                  </w:pPr>
                  <w:r>
                    <w:rPr>
                      <w:sz w:val="20"/>
                      <w:szCs w:val="20"/>
                      <w:lang w:val="uz-Cyrl-UZ"/>
                    </w:rPr>
                    <w:t>01.01.2019</w:t>
                  </w:r>
                </w:p>
              </w:txbxContent>
            </v:textbox>
          </v:shape>
        </w:pict>
      </w:r>
      <w:r>
        <w:pict>
          <v:shape id="_x0000_s1084" type="#_x0000_t202" style="position:absolute;left:0;text-align:left;margin-left:290.85pt;margin-top:232pt;width:66.2pt;height:17.3pt;z-index:251647488;mso-width-relative:margin;mso-height-relative:margin" stroked="f">
            <v:textbox>
              <w:txbxContent>
                <w:p w:rsidR="00287639" w:rsidRDefault="00287639" w:rsidP="00287639">
                  <w:pPr>
                    <w:rPr>
                      <w:sz w:val="20"/>
                      <w:szCs w:val="20"/>
                      <w:lang w:val="uz-Cyrl-UZ"/>
                    </w:rPr>
                  </w:pPr>
                  <w:r>
                    <w:rPr>
                      <w:sz w:val="20"/>
                      <w:szCs w:val="20"/>
                      <w:lang w:val="uz-Cyrl-UZ"/>
                    </w:rPr>
                    <w:t>01.04.2019</w:t>
                  </w:r>
                </w:p>
              </w:txbxContent>
            </v:textbox>
          </v:shape>
        </w:pict>
      </w:r>
      <w:r w:rsidR="004A4E10">
        <w:pict>
          <v:shape id="_x0000_s1085" type="#_x0000_t202" style="position:absolute;left:0;text-align:left;margin-left:58.15pt;margin-top:1.15pt;width:389.45pt;height:36.25pt;z-index:251646464;mso-width-relative:margin;mso-height-relative:margin" stroked="f">
            <v:textbox>
              <w:txbxContent>
                <w:p w:rsidR="00287639" w:rsidRDefault="00287639" w:rsidP="00287639">
                  <w:pPr>
                    <w:jc w:val="center"/>
                    <w:rPr>
                      <w:b/>
                    </w:rPr>
                  </w:pPr>
                  <w:r>
                    <w:rPr>
                      <w:b/>
                      <w:lang w:val="uz-Cyrl-UZ"/>
                    </w:rPr>
                    <w:t>Количество зарегистрированных в Национальном информационном базе банковских депозиторов Центрального банка клиентов и их счета</w:t>
                  </w:r>
                </w:p>
              </w:txbxContent>
            </v:textbox>
          </v:shape>
        </w:pict>
      </w:r>
      <w:r w:rsidR="00287639">
        <w:rPr>
          <w:noProof/>
          <w:lang w:eastAsia="ru-RU"/>
        </w:rPr>
        <w:drawing>
          <wp:inline distT="0" distB="0" distL="0" distR="0">
            <wp:extent cx="5850758" cy="3210593"/>
            <wp:effectExtent l="19050" t="0" r="16642" b="8857"/>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7639" w:rsidRDefault="00287639" w:rsidP="00303862">
      <w:pPr>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Следует отметить, что количество активных клиентов зарегистрированных в НИББД по состоянию на 1 января 2019 года составило 1 880 634, по состоянию на 1 апреля 2019 года этот показатель увеличился</w:t>
      </w:r>
      <w:r w:rsidR="000A3F32">
        <w:rPr>
          <w:rFonts w:ascii="Times New Roman" w:hAnsi="Times New Roman"/>
          <w:color w:val="000000"/>
          <w:sz w:val="28"/>
          <w:szCs w:val="28"/>
          <w:lang w:val="uz-Cyrl-UZ"/>
        </w:rPr>
        <w:br/>
      </w:r>
      <w:r>
        <w:rPr>
          <w:rFonts w:ascii="Times New Roman" w:hAnsi="Times New Roman"/>
          <w:color w:val="000000"/>
          <w:sz w:val="28"/>
          <w:szCs w:val="28"/>
          <w:lang w:val="uz-Cyrl-UZ"/>
        </w:rPr>
        <w:t>на 6,1 % и достиг 1 995 648. А если количество расчетных счетов открытых этим клиентам составлял по состоянию на 1 января 2019 года 7 263 621,</w:t>
      </w:r>
      <w:r w:rsidR="000A3F32">
        <w:rPr>
          <w:rFonts w:ascii="Times New Roman" w:hAnsi="Times New Roman"/>
          <w:color w:val="000000"/>
          <w:sz w:val="28"/>
          <w:szCs w:val="28"/>
          <w:lang w:val="uz-Cyrl-UZ"/>
        </w:rPr>
        <w:br/>
      </w:r>
      <w:r>
        <w:rPr>
          <w:rFonts w:ascii="Times New Roman" w:hAnsi="Times New Roman"/>
          <w:color w:val="000000"/>
          <w:sz w:val="28"/>
          <w:szCs w:val="28"/>
          <w:lang w:val="uz-Cyrl-UZ"/>
        </w:rPr>
        <w:t>то по</w:t>
      </w:r>
      <w:r w:rsidR="000A3F32">
        <w:rPr>
          <w:rFonts w:ascii="Times New Roman" w:hAnsi="Times New Roman"/>
          <w:color w:val="000000"/>
          <w:sz w:val="28"/>
          <w:szCs w:val="28"/>
          <w:lang w:val="uz-Cyrl-UZ"/>
        </w:rPr>
        <w:t xml:space="preserve"> </w:t>
      </w:r>
      <w:r>
        <w:rPr>
          <w:rFonts w:ascii="Times New Roman" w:hAnsi="Times New Roman"/>
          <w:color w:val="000000"/>
          <w:sz w:val="28"/>
          <w:szCs w:val="28"/>
          <w:lang w:val="uz-Cyrl-UZ"/>
        </w:rPr>
        <w:t>состоянию на 1 апреля 2019 года вырос на 3,3% и достиг 7 506 383.</w:t>
      </w:r>
    </w:p>
    <w:p w:rsidR="00287639" w:rsidRDefault="00287639" w:rsidP="00303862">
      <w:pPr>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Согласно Закону Республики Узбекистан “Об электронных платежах” межбанковская платежная система предназначена для осуществления электронных платежей между банками через их корреспондентские счета, открытые в Центральном банке Республики Узбекистан. Она считается эффективной платежной системой отвечающей международным стандартам.</w:t>
      </w:r>
    </w:p>
    <w:p w:rsidR="00287639" w:rsidRDefault="00287639" w:rsidP="00303862">
      <w:pPr>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В дополнение к этому, межбанковская платежная система работает</w:t>
      </w:r>
      <w:r w:rsidR="000A3F32">
        <w:rPr>
          <w:rFonts w:ascii="Times New Roman" w:hAnsi="Times New Roman"/>
          <w:color w:val="000000"/>
          <w:sz w:val="28"/>
          <w:szCs w:val="28"/>
          <w:lang w:val="uz-Cyrl-UZ"/>
        </w:rPr>
        <w:br/>
      </w:r>
      <w:r>
        <w:rPr>
          <w:rFonts w:ascii="Times New Roman" w:hAnsi="Times New Roman"/>
          <w:color w:val="000000"/>
          <w:sz w:val="28"/>
          <w:szCs w:val="28"/>
          <w:lang w:val="uz-Cyrl-UZ"/>
        </w:rPr>
        <w:t>на основе таких принципов, как безопасность высокого уровня, оперативность и</w:t>
      </w:r>
      <w:r w:rsidR="000A3F32">
        <w:rPr>
          <w:rFonts w:ascii="Times New Roman" w:hAnsi="Times New Roman"/>
          <w:color w:val="000000"/>
          <w:sz w:val="28"/>
          <w:szCs w:val="28"/>
          <w:lang w:val="uz-Cyrl-UZ"/>
        </w:rPr>
        <w:t xml:space="preserve"> </w:t>
      </w:r>
      <w:r>
        <w:rPr>
          <w:rFonts w:ascii="Times New Roman" w:hAnsi="Times New Roman"/>
          <w:color w:val="000000"/>
          <w:sz w:val="28"/>
          <w:szCs w:val="28"/>
          <w:lang w:val="uz-Cyrl-UZ"/>
        </w:rPr>
        <w:t>надежность.</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 xml:space="preserve">В настоящее время для проведения электронных платежей через межбанковскую платежную систему Центрального банка (при поступлении </w:t>
      </w:r>
      <w:r>
        <w:rPr>
          <w:rFonts w:ascii="Times New Roman" w:hAnsi="Times New Roman"/>
          <w:sz w:val="28"/>
          <w:szCs w:val="28"/>
          <w:lang w:val="uz-Cyrl-UZ"/>
        </w:rPr>
        <w:lastRenderedPageBreak/>
        <w:t>соответствующих файлов из коммерческого банка в Центральный банк) является достаточным максимум 1 минута (обычно в часах пик до 30 секунд).</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Результаты работ по совершенствованию банковской системы страны, в том числе систем электронных платежей были эффективными. Анализ показывает, что если через систему межбанковских платежей Центрального банка в 1-м квартале 2018 года были проведены платежи в количестве</w:t>
      </w:r>
      <w:r w:rsidR="000A3F32">
        <w:rPr>
          <w:rFonts w:ascii="Times New Roman" w:hAnsi="Times New Roman"/>
          <w:sz w:val="28"/>
          <w:szCs w:val="28"/>
          <w:lang w:val="uz-Cyrl-UZ"/>
        </w:rPr>
        <w:br/>
      </w:r>
      <w:r>
        <w:rPr>
          <w:rFonts w:ascii="Times New Roman" w:hAnsi="Times New Roman"/>
          <w:sz w:val="28"/>
          <w:szCs w:val="28"/>
          <w:lang w:val="uz-Cyrl-UZ"/>
        </w:rPr>
        <w:t>17,52 млн.</w:t>
      </w:r>
      <w:r w:rsidR="000A3F32">
        <w:rPr>
          <w:rFonts w:ascii="Times New Roman" w:hAnsi="Times New Roman"/>
          <w:sz w:val="28"/>
          <w:szCs w:val="28"/>
          <w:lang w:val="uz-Cyrl-UZ"/>
        </w:rPr>
        <w:t xml:space="preserve"> </w:t>
      </w:r>
      <w:r>
        <w:rPr>
          <w:rFonts w:ascii="Times New Roman" w:hAnsi="Times New Roman"/>
          <w:sz w:val="28"/>
          <w:szCs w:val="28"/>
          <w:lang w:val="uz-Cyrl-UZ"/>
        </w:rPr>
        <w:t>или на сумму 177,1 трлн. сумов, то в 1-м квартале 2019 года этот показатель составил 16,03</w:t>
      </w:r>
      <w:r w:rsidR="000A3F32">
        <w:rPr>
          <w:rFonts w:ascii="Times New Roman" w:hAnsi="Times New Roman"/>
          <w:sz w:val="28"/>
          <w:szCs w:val="28"/>
          <w:lang w:val="uz-Cyrl-UZ"/>
        </w:rPr>
        <w:t xml:space="preserve"> </w:t>
      </w:r>
      <w:r>
        <w:rPr>
          <w:rFonts w:ascii="Times New Roman" w:hAnsi="Times New Roman"/>
          <w:sz w:val="28"/>
          <w:szCs w:val="28"/>
          <w:lang w:val="uz-Cyrl-UZ"/>
        </w:rPr>
        <w:t>млн.</w:t>
      </w:r>
      <w:r w:rsidR="000A3F32">
        <w:rPr>
          <w:rFonts w:ascii="Times New Roman" w:hAnsi="Times New Roman"/>
          <w:sz w:val="28"/>
          <w:szCs w:val="28"/>
          <w:lang w:val="uz-Cyrl-UZ"/>
        </w:rPr>
        <w:t xml:space="preserve"> </w:t>
      </w:r>
      <w:r>
        <w:rPr>
          <w:rFonts w:ascii="Times New Roman" w:hAnsi="Times New Roman"/>
          <w:sz w:val="28"/>
          <w:szCs w:val="28"/>
          <w:lang w:val="uz-Cyrl-UZ"/>
        </w:rPr>
        <w:t>или 222,3 трлн.</w:t>
      </w:r>
      <w:r w:rsidR="000A3F32">
        <w:rPr>
          <w:rFonts w:ascii="Times New Roman" w:hAnsi="Times New Roman"/>
          <w:sz w:val="28"/>
          <w:szCs w:val="28"/>
          <w:lang w:val="uz-Cyrl-UZ"/>
        </w:rPr>
        <w:t xml:space="preserve"> </w:t>
      </w:r>
      <w:r>
        <w:rPr>
          <w:rFonts w:ascii="Times New Roman" w:hAnsi="Times New Roman"/>
          <w:sz w:val="28"/>
          <w:szCs w:val="28"/>
          <w:lang w:val="uz-Cyrl-UZ"/>
        </w:rPr>
        <w:t>сумов. В сравниваемом периоде можно наблюдать что количество платежных документов прошедших через систему межбанковских платежей сократилось на 8,5%,</w:t>
      </w:r>
      <w:r w:rsidR="000A3F32">
        <w:rPr>
          <w:rFonts w:ascii="Times New Roman" w:hAnsi="Times New Roman"/>
          <w:sz w:val="28"/>
          <w:szCs w:val="28"/>
          <w:lang w:val="uz-Cyrl-UZ"/>
        </w:rPr>
        <w:br/>
      </w:r>
      <w:r>
        <w:rPr>
          <w:rFonts w:ascii="Times New Roman" w:hAnsi="Times New Roman"/>
          <w:sz w:val="28"/>
          <w:szCs w:val="28"/>
          <w:lang w:val="uz-Cyrl-UZ"/>
        </w:rPr>
        <w:t xml:space="preserve">а сумма платежных документов увеличилась на 25,6% </w:t>
      </w:r>
      <w:r>
        <w:rPr>
          <w:rFonts w:ascii="Times New Roman" w:hAnsi="Times New Roman"/>
          <w:i/>
          <w:sz w:val="28"/>
          <w:szCs w:val="28"/>
          <w:lang w:val="uz-Cyrl-UZ"/>
        </w:rPr>
        <w:t>(2-й рисунок)</w:t>
      </w:r>
      <w:r>
        <w:rPr>
          <w:rFonts w:ascii="Times New Roman" w:hAnsi="Times New Roman"/>
          <w:sz w:val="28"/>
          <w:szCs w:val="28"/>
          <w:lang w:val="uz-Cyrl-UZ"/>
        </w:rPr>
        <w:t>.</w:t>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Следует отметить, что уменьшение количества транзакций</w:t>
      </w:r>
      <w:r w:rsidR="000A3F32">
        <w:rPr>
          <w:rFonts w:ascii="Times New Roman" w:hAnsi="Times New Roman"/>
          <w:color w:val="000000"/>
          <w:sz w:val="28"/>
          <w:szCs w:val="28"/>
          <w:lang w:val="uz-Cyrl-UZ"/>
        </w:rPr>
        <w:br/>
      </w:r>
      <w:r>
        <w:rPr>
          <w:rFonts w:ascii="Times New Roman" w:hAnsi="Times New Roman"/>
          <w:color w:val="000000"/>
          <w:sz w:val="28"/>
          <w:szCs w:val="28"/>
          <w:lang w:val="uz-Cyrl-UZ"/>
        </w:rPr>
        <w:t>в прошедшем периоде 2019 года можно обяснить увеличением масштаба проведения розничных платежей населения через Клиринговую систему расчетов Центрального банка.</w:t>
      </w:r>
    </w:p>
    <w:p w:rsidR="00287639" w:rsidRDefault="00287639" w:rsidP="00287639">
      <w:pPr>
        <w:tabs>
          <w:tab w:val="left" w:pos="945"/>
        </w:tabs>
        <w:spacing w:before="40" w:after="0" w:line="240" w:lineRule="auto"/>
        <w:ind w:firstLine="680"/>
        <w:jc w:val="right"/>
        <w:rPr>
          <w:rFonts w:ascii="Times New Roman" w:hAnsi="Times New Roman"/>
          <w:i/>
          <w:color w:val="000000"/>
          <w:sz w:val="24"/>
          <w:szCs w:val="24"/>
          <w:lang w:val="uz-Cyrl-UZ"/>
        </w:rPr>
      </w:pPr>
      <w:r>
        <w:rPr>
          <w:rFonts w:ascii="Times New Roman" w:hAnsi="Times New Roman"/>
          <w:i/>
          <w:color w:val="000000"/>
          <w:sz w:val="24"/>
          <w:szCs w:val="24"/>
          <w:lang w:val="uz-Cyrl-UZ"/>
        </w:rPr>
        <w:t>2-рисунок</w:t>
      </w:r>
    </w:p>
    <w:p w:rsidR="00287639" w:rsidRDefault="00287639" w:rsidP="00287639">
      <w:pPr>
        <w:tabs>
          <w:tab w:val="left" w:pos="945"/>
        </w:tabs>
        <w:spacing w:before="40" w:after="0" w:line="264" w:lineRule="auto"/>
        <w:ind w:firstLine="680"/>
        <w:jc w:val="right"/>
        <w:rPr>
          <w:rFonts w:ascii="Times New Roman" w:hAnsi="Times New Roman"/>
          <w:color w:val="000000"/>
          <w:sz w:val="8"/>
          <w:szCs w:val="8"/>
          <w:lang w:val="uz-Cyrl-UZ"/>
        </w:rPr>
      </w:pPr>
    </w:p>
    <w:p w:rsidR="00287639" w:rsidRDefault="004A4E10" w:rsidP="00287639">
      <w:pPr>
        <w:jc w:val="center"/>
        <w:rPr>
          <w:rFonts w:ascii="Times New Roman" w:hAnsi="Times New Roman"/>
          <w:color w:val="000000"/>
          <w:sz w:val="28"/>
          <w:szCs w:val="28"/>
          <w:lang w:val="uz-Cyrl-UZ"/>
        </w:rPr>
      </w:pPr>
      <w:r w:rsidRPr="004A4E10">
        <w:pict>
          <v:shape id="_x0000_s1102" type="#_x0000_t202" style="position:absolute;left:0;text-align:left;margin-left:357.45pt;margin-top:242.15pt;width:69.15pt;height:18.8pt;z-index:251650560;mso-width-relative:margin;mso-height-relative:margin" stroked="f">
            <v:textbox>
              <w:txbxContent>
                <w:p w:rsidR="00287639" w:rsidRDefault="00287639" w:rsidP="00287639">
                  <w:r>
                    <w:rPr>
                      <w:lang w:val="uz-Cyrl-UZ"/>
                    </w:rPr>
                    <w:t>01.04.2019</w:t>
                  </w:r>
                </w:p>
              </w:txbxContent>
            </v:textbox>
          </v:shape>
        </w:pict>
      </w:r>
      <w:r w:rsidRPr="004A4E10">
        <w:pict>
          <v:shape id="_x0000_s1101" type="#_x0000_t202" style="position:absolute;left:0;text-align:left;margin-left:218.65pt;margin-top:242.15pt;width:69.15pt;height:18.8pt;z-index:251651584;mso-width-relative:margin;mso-height-relative:margin" stroked="f">
            <v:textbox>
              <w:txbxContent>
                <w:p w:rsidR="00287639" w:rsidRDefault="00287639" w:rsidP="00287639">
                  <w:r>
                    <w:rPr>
                      <w:lang w:val="uz-Cyrl-UZ"/>
                    </w:rPr>
                    <w:t>01.04.2018</w:t>
                  </w:r>
                </w:p>
              </w:txbxContent>
            </v:textbox>
          </v:shape>
        </w:pict>
      </w:r>
      <w:r w:rsidRPr="004A4E10">
        <w:pict>
          <v:shape id="_x0000_s1103" type="#_x0000_t202" style="position:absolute;left:0;text-align:left;margin-left:75.6pt;margin-top:242.15pt;width:69.15pt;height:18.8pt;z-index:251652608;mso-width-relative:margin;mso-height-relative:margin" stroked="f">
            <v:textbox>
              <w:txbxContent>
                <w:p w:rsidR="00287639" w:rsidRDefault="00287639" w:rsidP="00287639">
                  <w:r>
                    <w:rPr>
                      <w:lang w:val="uz-Cyrl-UZ"/>
                    </w:rPr>
                    <w:t>01.04.2017</w:t>
                  </w:r>
                </w:p>
              </w:txbxContent>
            </v:textbox>
          </v:shape>
        </w:pict>
      </w:r>
      <w:r w:rsidR="00287639">
        <w:rPr>
          <w:rFonts w:ascii="Times New Roman" w:hAnsi="Times New Roman"/>
          <w:noProof/>
          <w:color w:val="000000"/>
          <w:sz w:val="28"/>
          <w:szCs w:val="28"/>
          <w:lang w:eastAsia="ru-RU"/>
        </w:rPr>
        <w:drawing>
          <wp:inline distT="0" distB="0" distL="0" distR="0">
            <wp:extent cx="5971540" cy="3928110"/>
            <wp:effectExtent l="19050" t="0" r="10160" b="0"/>
            <wp:docPr id="21" name="Рисунок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В том числе, как показывает анализ транзакций осуществленных через систему межбанковских платежей Центрального банка в течение 1-го квартала 2019 года в разрезе месяцев, среднемесячное количество транзакций составило 53,4 млн., а средмесячная сумма 74,1 трлн. сумов.</w:t>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lastRenderedPageBreak/>
        <w:t>Кроме того, в течение 1-го квартала 2019 года система межбанковских платежей Центрального банка оперировала 61 рабочих дней, количество среднедневных транзакций составило 262,7 тыс., а сумма среднедневных транзакций составила 3 644,8 млрд сумов. Самое большое количество однодневных транзакций осуществлено 25 марта 2019</w:t>
      </w:r>
      <w:r w:rsidR="009733E7">
        <w:rPr>
          <w:rFonts w:ascii="Times New Roman" w:hAnsi="Times New Roman"/>
          <w:color w:val="000000"/>
          <w:sz w:val="28"/>
          <w:szCs w:val="28"/>
          <w:lang w:val="uz-Cyrl-UZ"/>
        </w:rPr>
        <w:t xml:space="preserve"> </w:t>
      </w:r>
      <w:r>
        <w:rPr>
          <w:rFonts w:ascii="Times New Roman" w:hAnsi="Times New Roman"/>
          <w:color w:val="000000"/>
          <w:sz w:val="28"/>
          <w:szCs w:val="28"/>
          <w:lang w:val="uz-Cyrl-UZ"/>
        </w:rPr>
        <w:t>года и составило</w:t>
      </w:r>
      <w:r w:rsidR="009733E7">
        <w:rPr>
          <w:rFonts w:ascii="Times New Roman" w:hAnsi="Times New Roman"/>
          <w:color w:val="000000"/>
          <w:sz w:val="28"/>
          <w:szCs w:val="28"/>
          <w:lang w:val="uz-Cyrl-UZ"/>
        </w:rPr>
        <w:br/>
      </w:r>
      <w:r>
        <w:rPr>
          <w:rFonts w:ascii="Times New Roman" w:hAnsi="Times New Roman"/>
          <w:color w:val="000000"/>
          <w:sz w:val="28"/>
          <w:szCs w:val="28"/>
          <w:lang w:val="uz-Cyrl-UZ"/>
        </w:rPr>
        <w:t>435,6</w:t>
      </w:r>
      <w:r w:rsidR="009733E7">
        <w:rPr>
          <w:rFonts w:ascii="Times New Roman" w:hAnsi="Times New Roman"/>
          <w:color w:val="000000"/>
          <w:sz w:val="28"/>
          <w:szCs w:val="28"/>
          <w:lang w:val="uz-Cyrl-UZ"/>
        </w:rPr>
        <w:t xml:space="preserve"> </w:t>
      </w:r>
      <w:r>
        <w:rPr>
          <w:rFonts w:ascii="Times New Roman" w:hAnsi="Times New Roman"/>
          <w:color w:val="000000"/>
          <w:sz w:val="28"/>
          <w:szCs w:val="28"/>
          <w:lang w:val="uz-Cyrl-UZ"/>
        </w:rPr>
        <w:t>тыс., а самая большая сумма транзакций осуществлена 20 марта</w:t>
      </w:r>
      <w:r w:rsidR="009733E7">
        <w:rPr>
          <w:rFonts w:ascii="Times New Roman" w:hAnsi="Times New Roman"/>
          <w:color w:val="000000"/>
          <w:sz w:val="28"/>
          <w:szCs w:val="28"/>
          <w:lang w:val="uz-Cyrl-UZ"/>
        </w:rPr>
        <w:br/>
      </w:r>
      <w:r>
        <w:rPr>
          <w:rFonts w:ascii="Times New Roman" w:hAnsi="Times New Roman"/>
          <w:color w:val="000000"/>
          <w:sz w:val="28"/>
          <w:szCs w:val="28"/>
          <w:lang w:val="uz-Cyrl-UZ"/>
        </w:rPr>
        <w:t>2019</w:t>
      </w:r>
      <w:r w:rsidR="009733E7">
        <w:rPr>
          <w:rFonts w:ascii="Times New Roman" w:hAnsi="Times New Roman"/>
          <w:color w:val="000000"/>
          <w:sz w:val="28"/>
          <w:szCs w:val="28"/>
          <w:lang w:val="uz-Cyrl-UZ"/>
        </w:rPr>
        <w:t xml:space="preserve"> </w:t>
      </w:r>
      <w:r>
        <w:rPr>
          <w:rFonts w:ascii="Times New Roman" w:hAnsi="Times New Roman"/>
          <w:color w:val="000000"/>
          <w:sz w:val="28"/>
          <w:szCs w:val="28"/>
          <w:lang w:val="uz-Cyrl-UZ"/>
        </w:rPr>
        <w:t>года и составила 7,19 трлн.</w:t>
      </w:r>
      <w:r w:rsidR="009733E7">
        <w:rPr>
          <w:rFonts w:ascii="Times New Roman" w:hAnsi="Times New Roman"/>
          <w:color w:val="000000"/>
          <w:sz w:val="28"/>
          <w:szCs w:val="28"/>
          <w:lang w:val="uz-Cyrl-UZ"/>
        </w:rPr>
        <w:t xml:space="preserve"> </w:t>
      </w:r>
      <w:r>
        <w:rPr>
          <w:rFonts w:ascii="Times New Roman" w:hAnsi="Times New Roman"/>
          <w:color w:val="000000"/>
          <w:sz w:val="28"/>
          <w:szCs w:val="28"/>
          <w:lang w:val="uz-Cyrl-UZ"/>
        </w:rPr>
        <w:t>сумов.</w:t>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Если проанализировать транзакции, осуществленные через систему межбанковских платежей Центрального банка в разрезе типов платежных документов </w:t>
      </w:r>
      <w:r>
        <w:rPr>
          <w:rFonts w:ascii="Times New Roman" w:hAnsi="Times New Roman"/>
          <w:i/>
          <w:color w:val="000000"/>
          <w:sz w:val="28"/>
          <w:szCs w:val="28"/>
          <w:lang w:val="uz-Cyrl-UZ"/>
        </w:rPr>
        <w:t>(3-4 рисунки)</w:t>
      </w:r>
      <w:r>
        <w:rPr>
          <w:rFonts w:ascii="Times New Roman" w:hAnsi="Times New Roman"/>
          <w:color w:val="000000"/>
          <w:sz w:val="28"/>
          <w:szCs w:val="28"/>
          <w:lang w:val="uz-Cyrl-UZ"/>
        </w:rPr>
        <w:t>:</w:t>
      </w:r>
    </w:p>
    <w:p w:rsidR="00287639" w:rsidRDefault="00287639" w:rsidP="00303862">
      <w:pPr>
        <w:pStyle w:val="a5"/>
        <w:numPr>
          <w:ilvl w:val="0"/>
          <w:numId w:val="5"/>
        </w:numPr>
        <w:tabs>
          <w:tab w:val="left" w:pos="0"/>
          <w:tab w:val="left" w:pos="993"/>
        </w:tabs>
        <w:spacing w:before="60" w:after="0" w:line="288" w:lineRule="auto"/>
        <w:ind w:left="0"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количество транзакций осуществленных посредством платежных поручений составило 9,1 млн. (56,7% от общего количество транзакций),</w:t>
      </w:r>
      <w:r w:rsidR="009733E7">
        <w:rPr>
          <w:rFonts w:ascii="Times New Roman" w:hAnsi="Times New Roman"/>
          <w:color w:val="000000"/>
          <w:sz w:val="28"/>
          <w:szCs w:val="28"/>
          <w:lang w:val="uz-Cyrl-UZ"/>
        </w:rPr>
        <w:br/>
      </w:r>
      <w:r>
        <w:rPr>
          <w:rFonts w:ascii="Times New Roman" w:hAnsi="Times New Roman"/>
          <w:color w:val="000000"/>
          <w:sz w:val="28"/>
          <w:szCs w:val="28"/>
          <w:lang w:val="uz-Cyrl-UZ"/>
        </w:rPr>
        <w:t>а сумма транзакций 147,2 трлн. сумов (66,2% от общей суммы транзакций);</w:t>
      </w:r>
    </w:p>
    <w:p w:rsidR="00287639" w:rsidRDefault="00287639" w:rsidP="00303862">
      <w:pPr>
        <w:pStyle w:val="a5"/>
        <w:numPr>
          <w:ilvl w:val="0"/>
          <w:numId w:val="5"/>
        </w:numPr>
        <w:tabs>
          <w:tab w:val="left" w:pos="0"/>
          <w:tab w:val="left" w:pos="993"/>
        </w:tabs>
        <w:spacing w:before="60" w:after="0" w:line="288" w:lineRule="auto"/>
        <w:ind w:left="0"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количество транзакций осуществленных посредством мемориальных ордеров составило 5,0 млн. (31,4% от общего количество транзакций),</w:t>
      </w:r>
      <w:r w:rsidR="009733E7">
        <w:rPr>
          <w:rFonts w:ascii="Times New Roman" w:hAnsi="Times New Roman"/>
          <w:color w:val="000000"/>
          <w:sz w:val="28"/>
          <w:szCs w:val="28"/>
          <w:lang w:val="uz-Cyrl-UZ"/>
        </w:rPr>
        <w:br/>
      </w:r>
      <w:r>
        <w:rPr>
          <w:rFonts w:ascii="Times New Roman" w:hAnsi="Times New Roman"/>
          <w:color w:val="000000"/>
          <w:sz w:val="28"/>
          <w:szCs w:val="28"/>
          <w:lang w:val="uz-Cyrl-UZ"/>
        </w:rPr>
        <w:t>а сумма транзакций 73,8 трлн. сумов (33,2% от общей суммы транзакций);</w:t>
      </w:r>
    </w:p>
    <w:p w:rsidR="00287639" w:rsidRPr="00303862" w:rsidRDefault="00287639" w:rsidP="00303862">
      <w:pPr>
        <w:pStyle w:val="a5"/>
        <w:numPr>
          <w:ilvl w:val="0"/>
          <w:numId w:val="5"/>
        </w:numPr>
        <w:tabs>
          <w:tab w:val="left" w:pos="0"/>
          <w:tab w:val="left" w:pos="993"/>
        </w:tabs>
        <w:spacing w:before="60" w:after="0" w:line="288" w:lineRule="auto"/>
        <w:ind w:left="0"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количество транзакций осуществленных посредством инкассовых поручений составило 1,8 млн. (11,2% от общего количество транзакций),</w:t>
      </w:r>
      <w:r w:rsidR="009733E7">
        <w:rPr>
          <w:rFonts w:ascii="Times New Roman" w:hAnsi="Times New Roman"/>
          <w:color w:val="000000"/>
          <w:sz w:val="28"/>
          <w:szCs w:val="28"/>
          <w:lang w:val="uz-Cyrl-UZ"/>
        </w:rPr>
        <w:br/>
      </w:r>
      <w:r>
        <w:rPr>
          <w:rFonts w:ascii="Times New Roman" w:hAnsi="Times New Roman"/>
          <w:color w:val="000000"/>
          <w:sz w:val="28"/>
          <w:szCs w:val="28"/>
          <w:lang w:val="uz-Cyrl-UZ"/>
        </w:rPr>
        <w:t>а сумма транзакций 1,1 трлн. сумов (0,5% от общей суммы транзакций)</w:t>
      </w:r>
      <w:r>
        <w:rPr>
          <w:rFonts w:ascii="Times New Roman" w:hAnsi="Times New Roman"/>
          <w:color w:val="000000"/>
          <w:sz w:val="28"/>
          <w:szCs w:val="28"/>
        </w:rPr>
        <w:t>.</w:t>
      </w:r>
    </w:p>
    <w:p w:rsidR="00303862" w:rsidRDefault="00303862" w:rsidP="00303862">
      <w:pPr>
        <w:pStyle w:val="a5"/>
        <w:tabs>
          <w:tab w:val="left" w:pos="0"/>
          <w:tab w:val="left" w:pos="993"/>
        </w:tabs>
        <w:spacing w:before="60" w:after="0" w:line="288" w:lineRule="auto"/>
        <w:jc w:val="both"/>
        <w:rPr>
          <w:rFonts w:ascii="Times New Roman" w:hAnsi="Times New Roman"/>
          <w:color w:val="000000"/>
          <w:sz w:val="28"/>
          <w:szCs w:val="28"/>
          <w:lang w:val="uz-Cyrl-UZ"/>
        </w:rPr>
      </w:pPr>
    </w:p>
    <w:p w:rsidR="00287639" w:rsidRPr="009733E7" w:rsidRDefault="00287639" w:rsidP="00287639">
      <w:pPr>
        <w:tabs>
          <w:tab w:val="left" w:pos="945"/>
        </w:tabs>
        <w:spacing w:before="40" w:after="0" w:line="264" w:lineRule="auto"/>
        <w:ind w:right="283" w:firstLine="680"/>
        <w:jc w:val="right"/>
        <w:rPr>
          <w:rFonts w:ascii="Times New Roman" w:hAnsi="Times New Roman"/>
          <w:i/>
          <w:color w:val="000000"/>
          <w:sz w:val="24"/>
          <w:szCs w:val="24"/>
          <w:lang w:val="uz-Cyrl-UZ"/>
        </w:rPr>
      </w:pPr>
      <w:r w:rsidRPr="009733E7">
        <w:rPr>
          <w:rFonts w:ascii="Times New Roman" w:hAnsi="Times New Roman"/>
          <w:i/>
          <w:color w:val="000000"/>
          <w:sz w:val="24"/>
          <w:szCs w:val="24"/>
          <w:lang w:val="uz-Cyrl-UZ"/>
        </w:rPr>
        <w:t>(3-рисунок)</w:t>
      </w:r>
    </w:p>
    <w:p w:rsidR="00287639" w:rsidRPr="00303862" w:rsidRDefault="00287639" w:rsidP="00287639">
      <w:pPr>
        <w:tabs>
          <w:tab w:val="left" w:pos="945"/>
        </w:tabs>
        <w:spacing w:before="40" w:after="0" w:line="264" w:lineRule="auto"/>
        <w:ind w:firstLine="680"/>
        <w:jc w:val="right"/>
        <w:rPr>
          <w:rFonts w:ascii="Times New Roman" w:hAnsi="Times New Roman"/>
          <w:color w:val="000000"/>
          <w:sz w:val="20"/>
          <w:szCs w:val="20"/>
          <w:lang w:val="uz-Cyrl-UZ"/>
        </w:rPr>
      </w:pPr>
    </w:p>
    <w:p w:rsidR="00287639" w:rsidRDefault="00287639" w:rsidP="00287639">
      <w:pPr>
        <w:jc w:val="center"/>
        <w:rPr>
          <w:rFonts w:ascii="Times New Roman" w:hAnsi="Times New Roman"/>
          <w:color w:val="000000"/>
          <w:sz w:val="28"/>
          <w:szCs w:val="28"/>
          <w:lang w:val="uz-Cyrl-UZ"/>
        </w:rPr>
      </w:pPr>
      <w:r>
        <w:rPr>
          <w:noProof/>
          <w:color w:val="000000"/>
          <w:lang w:eastAsia="ru-RU"/>
        </w:rPr>
        <w:drawing>
          <wp:inline distT="0" distB="0" distL="0" distR="0">
            <wp:extent cx="5494655" cy="2830830"/>
            <wp:effectExtent l="0" t="0" r="0" b="0"/>
            <wp:docPr id="2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3862" w:rsidRDefault="00303862" w:rsidP="00287639">
      <w:pPr>
        <w:jc w:val="center"/>
        <w:rPr>
          <w:rFonts w:ascii="Times New Roman" w:hAnsi="Times New Roman"/>
          <w:color w:val="000000"/>
          <w:sz w:val="28"/>
          <w:szCs w:val="28"/>
          <w:lang w:val="uz-Cyrl-UZ"/>
        </w:rPr>
      </w:pPr>
    </w:p>
    <w:p w:rsidR="00303862" w:rsidRDefault="00303862" w:rsidP="00287639">
      <w:pPr>
        <w:jc w:val="center"/>
        <w:rPr>
          <w:rFonts w:ascii="Times New Roman" w:hAnsi="Times New Roman"/>
          <w:color w:val="000000"/>
          <w:sz w:val="28"/>
          <w:szCs w:val="28"/>
          <w:lang w:val="uz-Cyrl-UZ"/>
        </w:rPr>
      </w:pPr>
    </w:p>
    <w:p w:rsidR="00287639" w:rsidRDefault="00287639" w:rsidP="00287639">
      <w:pPr>
        <w:tabs>
          <w:tab w:val="left" w:pos="945"/>
        </w:tabs>
        <w:spacing w:before="40" w:after="40" w:line="264" w:lineRule="auto"/>
        <w:ind w:right="284" w:firstLine="680"/>
        <w:jc w:val="right"/>
        <w:rPr>
          <w:rFonts w:ascii="Times New Roman" w:hAnsi="Times New Roman"/>
          <w:i/>
          <w:color w:val="000000"/>
          <w:sz w:val="24"/>
          <w:szCs w:val="24"/>
          <w:lang w:val="uz-Cyrl-UZ"/>
        </w:rPr>
      </w:pPr>
      <w:r>
        <w:rPr>
          <w:rFonts w:ascii="Times New Roman" w:hAnsi="Times New Roman"/>
          <w:i/>
          <w:color w:val="000000"/>
          <w:sz w:val="24"/>
          <w:szCs w:val="24"/>
          <w:lang w:val="uz-Cyrl-UZ"/>
        </w:rPr>
        <w:lastRenderedPageBreak/>
        <w:t>(4-рисунок)</w:t>
      </w:r>
    </w:p>
    <w:p w:rsidR="00287639" w:rsidRDefault="00287639" w:rsidP="00287639">
      <w:pPr>
        <w:spacing w:after="120"/>
        <w:jc w:val="center"/>
        <w:rPr>
          <w:rFonts w:ascii="Times New Roman" w:hAnsi="Times New Roman"/>
          <w:color w:val="000000"/>
          <w:sz w:val="2"/>
          <w:szCs w:val="2"/>
          <w:lang w:val="uz-Cyrl-UZ"/>
        </w:rPr>
      </w:pPr>
    </w:p>
    <w:p w:rsidR="00287639" w:rsidRDefault="00287639" w:rsidP="00287639">
      <w:pPr>
        <w:jc w:val="center"/>
        <w:rPr>
          <w:rFonts w:ascii="Times New Roman" w:hAnsi="Times New Roman"/>
          <w:color w:val="000000"/>
          <w:sz w:val="28"/>
          <w:szCs w:val="28"/>
          <w:lang w:val="uz-Cyrl-UZ"/>
        </w:rPr>
      </w:pPr>
      <w:r>
        <w:rPr>
          <w:noProof/>
          <w:color w:val="000000"/>
          <w:lang w:eastAsia="ru-RU"/>
        </w:rPr>
        <w:drawing>
          <wp:inline distT="0" distB="0" distL="0" distR="0">
            <wp:extent cx="5494655" cy="2878455"/>
            <wp:effectExtent l="0" t="0" r="0" b="0"/>
            <wp:docPr id="1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7639" w:rsidRDefault="00287639" w:rsidP="00287639">
      <w:pPr>
        <w:pStyle w:val="a5"/>
        <w:numPr>
          <w:ilvl w:val="0"/>
          <w:numId w:val="4"/>
        </w:numPr>
        <w:tabs>
          <w:tab w:val="left" w:pos="567"/>
        </w:tabs>
        <w:spacing w:after="0" w:line="240" w:lineRule="auto"/>
        <w:ind w:left="0" w:firstLine="0"/>
        <w:jc w:val="center"/>
        <w:rPr>
          <w:rFonts w:ascii="Times New Roman" w:hAnsi="Times New Roman"/>
          <w:b/>
          <w:sz w:val="28"/>
          <w:szCs w:val="28"/>
          <w:lang w:val="uz-Cyrl-UZ"/>
        </w:rPr>
      </w:pPr>
      <w:r>
        <w:rPr>
          <w:rFonts w:ascii="Times New Roman" w:hAnsi="Times New Roman"/>
          <w:b/>
          <w:sz w:val="28"/>
          <w:szCs w:val="28"/>
          <w:lang w:val="uz-Cyrl-UZ"/>
        </w:rPr>
        <w:t>Анализ Клиринговой системы расчетов Центрального банка</w:t>
      </w:r>
    </w:p>
    <w:p w:rsidR="00287639" w:rsidRDefault="00287639" w:rsidP="00303862">
      <w:pPr>
        <w:tabs>
          <w:tab w:val="left" w:pos="945"/>
        </w:tabs>
        <w:spacing w:before="60" w:after="0" w:line="288" w:lineRule="auto"/>
        <w:ind w:firstLine="720"/>
        <w:jc w:val="both"/>
        <w:rPr>
          <w:rFonts w:ascii="Times New Roman" w:hAnsi="Times New Roman"/>
          <w:sz w:val="28"/>
          <w:szCs w:val="28"/>
        </w:rPr>
      </w:pPr>
      <w:r>
        <w:rPr>
          <w:rFonts w:ascii="Times New Roman" w:hAnsi="Times New Roman"/>
          <w:color w:val="000000"/>
          <w:sz w:val="28"/>
          <w:szCs w:val="28"/>
          <w:lang w:val="uz-Cyrl-UZ"/>
        </w:rPr>
        <w:t>В соответствии с Постановлением Президента Республики Узбекистан от 27 июня 2013 года №ПП</w:t>
      </w:r>
      <w:r w:rsidR="00ED39A6">
        <w:rPr>
          <w:rFonts w:ascii="Times New Roman" w:hAnsi="Times New Roman"/>
          <w:sz w:val="28"/>
          <w:szCs w:val="28"/>
        </w:rPr>
        <w:t>–</w:t>
      </w:r>
      <w:r>
        <w:rPr>
          <w:rFonts w:ascii="Times New Roman" w:hAnsi="Times New Roman"/>
          <w:color w:val="000000"/>
          <w:sz w:val="28"/>
          <w:szCs w:val="28"/>
          <w:lang w:val="uz-Cyrl-UZ"/>
        </w:rPr>
        <w:t xml:space="preserve">1989 “О мерах по дальнейшему развитию Национальной информационно-коммуникационной системы Республики Узбекистан” разработан и внедрен в 2014 году проект Центрального банка </w:t>
      </w:r>
      <w:r>
        <w:rPr>
          <w:rFonts w:ascii="Times New Roman" w:hAnsi="Times New Roman"/>
          <w:sz w:val="28"/>
          <w:szCs w:val="28"/>
        </w:rPr>
        <w:t>«</w:t>
      </w:r>
      <w:r>
        <w:rPr>
          <w:rFonts w:ascii="Times New Roman" w:hAnsi="Times New Roman"/>
          <w:i/>
          <w:sz w:val="28"/>
          <w:szCs w:val="28"/>
        </w:rPr>
        <w:t>Клиринговая система расчётов оплаты розничных платежей в режиме реального времени с учётом дальнейшей интеграции с биллинг-системами поставщиков услуг</w:t>
      </w:r>
      <w:r>
        <w:rPr>
          <w:rFonts w:ascii="Times New Roman" w:hAnsi="Times New Roman"/>
          <w:sz w:val="28"/>
          <w:szCs w:val="28"/>
        </w:rPr>
        <w:t>». Наблюдается регулярный рост объемов платежей</w:t>
      </w:r>
      <w:r w:rsidR="00ED39A6">
        <w:rPr>
          <w:rFonts w:ascii="Times New Roman" w:hAnsi="Times New Roman"/>
          <w:sz w:val="28"/>
          <w:szCs w:val="28"/>
        </w:rPr>
        <w:br/>
      </w:r>
      <w:r>
        <w:rPr>
          <w:rFonts w:ascii="Times New Roman" w:hAnsi="Times New Roman"/>
          <w:sz w:val="28"/>
          <w:szCs w:val="28"/>
          <w:lang w:val="uz-Cyrl-UZ"/>
        </w:rPr>
        <w:t xml:space="preserve">и спектр услуг </w:t>
      </w:r>
      <w:r>
        <w:rPr>
          <w:rFonts w:ascii="Times New Roman" w:hAnsi="Times New Roman"/>
          <w:sz w:val="28"/>
          <w:szCs w:val="28"/>
        </w:rPr>
        <w:t>через данную систему.</w:t>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color w:val="000000"/>
          <w:sz w:val="28"/>
          <w:szCs w:val="28"/>
          <w:lang w:val="uz-Cyrl-UZ"/>
        </w:rPr>
        <w:t>В настоящее время в банковских инфраструктурах созданы возможности для проведения различных платежей (коммунальные платежи, бюджетные платежи, налоговые и таможенные платежи, платежи за услуги нотариусов и ЗАГС, штрафы МВД, платежи за услуги Агентств государственных услуг, платежи за автомашины “GM Uzbekistan”, платежи за услуги мобильной связи, интернет провайдеров и других услуг) через Клиринговую систему расчетов Центрального банка посредством идентификации плательщика с помощью биллинговых систем поставщиков услуг в режиме реального времени.</w:t>
      </w:r>
    </w:p>
    <w:p w:rsidR="00287639" w:rsidRDefault="00287639" w:rsidP="00303862">
      <w:pPr>
        <w:tabs>
          <w:tab w:val="left" w:pos="945"/>
        </w:tabs>
        <w:spacing w:before="60" w:after="0" w:line="288" w:lineRule="auto"/>
        <w:ind w:firstLine="720"/>
        <w:jc w:val="both"/>
        <w:rPr>
          <w:rFonts w:ascii="Times New Roman" w:hAnsi="Times New Roman"/>
          <w:color w:val="000000"/>
          <w:sz w:val="28"/>
          <w:szCs w:val="28"/>
        </w:rPr>
      </w:pPr>
      <w:r>
        <w:rPr>
          <w:rFonts w:ascii="Times New Roman" w:hAnsi="Times New Roman"/>
          <w:color w:val="000000"/>
          <w:sz w:val="28"/>
          <w:szCs w:val="28"/>
          <w:lang w:val="uz-Cyrl-UZ"/>
        </w:rPr>
        <w:t>Кроме того, Клиринговая система расчетов Центрального банка выполняет функцию “Расчетного банка” для проведения межбанковских расчетов по результатам клиринга</w:t>
      </w:r>
      <w:r>
        <w:rPr>
          <w:rFonts w:ascii="Times New Roman" w:hAnsi="Times New Roman"/>
          <w:color w:val="000000"/>
          <w:sz w:val="28"/>
          <w:szCs w:val="28"/>
        </w:rPr>
        <w:t xml:space="preserve"> по осуществленным транзакциям</w:t>
      </w:r>
      <w:r w:rsidR="00ED39A6">
        <w:rPr>
          <w:rFonts w:ascii="Times New Roman" w:hAnsi="Times New Roman"/>
          <w:color w:val="000000"/>
          <w:sz w:val="28"/>
          <w:szCs w:val="28"/>
        </w:rPr>
        <w:br/>
      </w:r>
      <w:r>
        <w:rPr>
          <w:rFonts w:ascii="Times New Roman" w:hAnsi="Times New Roman"/>
          <w:color w:val="000000"/>
          <w:sz w:val="28"/>
          <w:szCs w:val="28"/>
        </w:rPr>
        <w:t>с использованием банковских карт розничных платежных систем действующих в Республике.</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lastRenderedPageBreak/>
        <w:t>Следует отметить, что количество организаций и ведомств проявивших интерес к осуществлению платежей в режиме онлайн через Клиринговую систему расчетов Центрального банка постоянно растет. На сегодняшний день через Клиринговую систему расчетов платежи по более 30 видов услуг осуществляются в режиме реального времени.</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Как показывает анализ, если через Клиринговую систему расчетов Центрального банка в течение 1-квартала 2017 года осуществлены платежи на сумму 1 029,2 млрд. сумов, то сумма платежей в 1-квартале 2018 года увеличилась в 2,2 раза в сравнении с соответствующим периодом 2017 года</w:t>
      </w:r>
      <w:r w:rsidR="00303862">
        <w:rPr>
          <w:rFonts w:ascii="Times New Roman" w:hAnsi="Times New Roman"/>
          <w:sz w:val="28"/>
          <w:szCs w:val="28"/>
          <w:lang w:val="uz-Cyrl-UZ"/>
        </w:rPr>
        <w:br/>
      </w:r>
      <w:r>
        <w:rPr>
          <w:rFonts w:ascii="Times New Roman" w:hAnsi="Times New Roman"/>
          <w:sz w:val="28"/>
          <w:szCs w:val="28"/>
          <w:lang w:val="uz-Cyrl-UZ"/>
        </w:rPr>
        <w:t xml:space="preserve">и составила 2 245,5 млрд. сумов. А в отчетном периоде 2019 года сумма транзакций, осуществленных через эту систему в сравнении с данным периодом 2018 года выросла почти в 1,7 раза и составила 3 738,7 млрд сумов </w:t>
      </w:r>
      <w:r>
        <w:rPr>
          <w:rFonts w:ascii="Times New Roman" w:hAnsi="Times New Roman"/>
          <w:i/>
          <w:sz w:val="28"/>
          <w:szCs w:val="28"/>
          <w:lang w:val="uz-Cyrl-UZ"/>
        </w:rPr>
        <w:t>(5-й рисунок)</w:t>
      </w:r>
      <w:r>
        <w:rPr>
          <w:rFonts w:ascii="Times New Roman" w:hAnsi="Times New Roman"/>
          <w:sz w:val="28"/>
          <w:szCs w:val="28"/>
          <w:lang w:val="uz-Cyrl-UZ"/>
        </w:rPr>
        <w:t>.</w:t>
      </w:r>
    </w:p>
    <w:p w:rsidR="00287639" w:rsidRDefault="00287639" w:rsidP="00287639">
      <w:pPr>
        <w:spacing w:before="60" w:after="0" w:line="288" w:lineRule="auto"/>
        <w:ind w:right="141" w:firstLine="709"/>
        <w:jc w:val="right"/>
        <w:rPr>
          <w:rFonts w:ascii="Times New Roman" w:hAnsi="Times New Roman"/>
          <w:i/>
          <w:sz w:val="24"/>
          <w:szCs w:val="24"/>
          <w:lang w:val="uz-Cyrl-UZ"/>
        </w:rPr>
      </w:pPr>
      <w:r>
        <w:rPr>
          <w:rFonts w:ascii="Times New Roman" w:hAnsi="Times New Roman"/>
          <w:i/>
          <w:sz w:val="24"/>
          <w:szCs w:val="24"/>
          <w:lang w:val="uz-Cyrl-UZ"/>
        </w:rPr>
        <w:t>(5-й рисунок)</w:t>
      </w:r>
    </w:p>
    <w:p w:rsidR="00287639" w:rsidRDefault="004A4E10" w:rsidP="00287639">
      <w:pPr>
        <w:spacing w:before="40" w:after="0" w:line="288" w:lineRule="auto"/>
        <w:jc w:val="center"/>
        <w:rPr>
          <w:rFonts w:ascii="Times New Roman" w:hAnsi="Times New Roman"/>
          <w:sz w:val="28"/>
          <w:szCs w:val="28"/>
          <w:lang w:val="uz-Cyrl-UZ"/>
        </w:rPr>
      </w:pPr>
      <w:r w:rsidRPr="004A4E10">
        <w:pict>
          <v:shape id="_x0000_s1088" type="#_x0000_t202" style="position:absolute;left:0;text-align:left;margin-left:274.95pt;margin-top:3in;width:67.85pt;height:20.75pt;z-index:251653632;mso-width-relative:margin;mso-height-relative:margin" stroked="f">
            <v:textbox>
              <w:txbxContent>
                <w:p w:rsidR="00287639" w:rsidRDefault="00287639" w:rsidP="00287639">
                  <w:pPr>
                    <w:rPr>
                      <w:lang w:val="uz-Cyrl-UZ"/>
                    </w:rPr>
                  </w:pPr>
                  <w:r>
                    <w:rPr>
                      <w:lang w:val="uz-Cyrl-UZ"/>
                    </w:rPr>
                    <w:t>01.04.2019</w:t>
                  </w:r>
                </w:p>
              </w:txbxContent>
            </v:textbox>
          </v:shape>
        </w:pict>
      </w:r>
      <w:r w:rsidRPr="004A4E10">
        <w:pict>
          <v:shape id="_x0000_s1087" type="#_x0000_t202" style="position:absolute;left:0;text-align:left;margin-left:182.5pt;margin-top:3in;width:67.85pt;height:20.75pt;z-index:251654656;mso-width-relative:margin;mso-height-relative:margin" stroked="f">
            <v:textbox style="mso-next-textbox:#_x0000_s1087">
              <w:txbxContent>
                <w:p w:rsidR="00287639" w:rsidRDefault="00287639" w:rsidP="00287639">
                  <w:pPr>
                    <w:rPr>
                      <w:lang w:val="uz-Cyrl-UZ"/>
                    </w:rPr>
                  </w:pPr>
                  <w:r>
                    <w:rPr>
                      <w:lang w:val="uz-Cyrl-UZ"/>
                    </w:rPr>
                    <w:t>01.04.2018</w:t>
                  </w:r>
                </w:p>
              </w:txbxContent>
            </v:textbox>
          </v:shape>
        </w:pict>
      </w:r>
      <w:r w:rsidRPr="004A4E10">
        <w:pict>
          <v:shape id="_x0000_s1086" type="#_x0000_t202" style="position:absolute;left:0;text-align:left;margin-left:87.8pt;margin-top:3in;width:67.85pt;height:20.75pt;z-index:251655680;mso-width-relative:margin;mso-height-relative:margin" stroked="f">
            <v:textbox>
              <w:txbxContent>
                <w:p w:rsidR="00287639" w:rsidRDefault="00287639" w:rsidP="00287639">
                  <w:pPr>
                    <w:rPr>
                      <w:lang w:val="uz-Cyrl-UZ"/>
                    </w:rPr>
                  </w:pPr>
                  <w:r>
                    <w:rPr>
                      <w:lang w:val="uz-Cyrl-UZ"/>
                    </w:rPr>
                    <w:t>01.04.2017</w:t>
                  </w:r>
                </w:p>
              </w:txbxContent>
            </v:textbox>
          </v:shape>
        </w:pict>
      </w:r>
      <w:r w:rsidR="00287639">
        <w:rPr>
          <w:noProof/>
          <w:lang w:eastAsia="ru-RU"/>
        </w:rPr>
        <w:drawing>
          <wp:inline distT="0" distB="0" distL="0" distR="0">
            <wp:extent cx="5796280" cy="3029585"/>
            <wp:effectExtent l="19050" t="0" r="13970" b="0"/>
            <wp:docPr id="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В том числе, из общей суммы транзакций, осуществленных через Клиринговую систему в 1-м квартале 2019 года, платежи в Казначейство составили 1 041,3 млрд. сумов (27,9 % от всех транзакций), платежи</w:t>
      </w:r>
      <w:r w:rsidR="00ED39A6">
        <w:rPr>
          <w:rFonts w:ascii="Times New Roman" w:hAnsi="Times New Roman"/>
          <w:sz w:val="28"/>
          <w:szCs w:val="28"/>
          <w:lang w:val="uz-Cyrl-UZ"/>
        </w:rPr>
        <w:br/>
      </w:r>
      <w:r>
        <w:rPr>
          <w:rFonts w:ascii="Times New Roman" w:hAnsi="Times New Roman"/>
          <w:sz w:val="28"/>
          <w:szCs w:val="28"/>
          <w:lang w:val="uz-Cyrl-UZ"/>
        </w:rPr>
        <w:t xml:space="preserve">за услуги «Узтрансгаз» – 722,3 млрд. сумов (19,3 %), платежи за услуги «Узбекэнерго» – 523,9 млрд. сумов (14,0 %), оплата за услуги нотариата и ЗАГС - 248,2 млрд. сумов (6,6%), оплата налогов и других обязательных платежей – 199,7 млрд. сумов (5,3%), платежи в пользу «GM Uzbekistan» – 182,4 млрд. сумов (4,9%), оплата штрафа за нарушение правил дорожного движения – 181,2 млрд.сумов (4,8%), платежи за услуги агентств Государственных услуг – 141,3 млрд. сумов (3,8%), таможенные платежи – </w:t>
      </w:r>
      <w:r>
        <w:rPr>
          <w:rFonts w:ascii="Times New Roman" w:hAnsi="Times New Roman"/>
          <w:sz w:val="28"/>
          <w:szCs w:val="28"/>
          <w:lang w:val="uz-Cyrl-UZ"/>
        </w:rPr>
        <w:lastRenderedPageBreak/>
        <w:t xml:space="preserve">129,5 млрд. сумов (3,5%), платежи за услуги «Тошиссиккуввати» 102,3 млрд. сумов (2,7%) и другие платежи 266,5 млрд. сумов (7,2%) </w:t>
      </w:r>
      <w:r>
        <w:rPr>
          <w:rFonts w:ascii="Times New Roman" w:hAnsi="Times New Roman"/>
          <w:i/>
          <w:sz w:val="28"/>
          <w:szCs w:val="28"/>
          <w:lang w:val="uz-Cyrl-UZ"/>
        </w:rPr>
        <w:t>(6-й рисунок).</w:t>
      </w:r>
    </w:p>
    <w:p w:rsidR="00287639" w:rsidRDefault="00287639" w:rsidP="00287639">
      <w:pPr>
        <w:spacing w:before="60" w:after="0" w:line="240" w:lineRule="auto"/>
        <w:ind w:right="142" w:firstLine="709"/>
        <w:jc w:val="right"/>
        <w:rPr>
          <w:rFonts w:ascii="Times New Roman" w:hAnsi="Times New Roman"/>
          <w:i/>
          <w:sz w:val="8"/>
          <w:szCs w:val="8"/>
          <w:lang w:val="uz-Cyrl-UZ"/>
        </w:rPr>
      </w:pPr>
    </w:p>
    <w:p w:rsidR="00287639" w:rsidRDefault="00287639" w:rsidP="00287639">
      <w:pPr>
        <w:spacing w:before="60" w:after="0" w:line="240" w:lineRule="auto"/>
        <w:ind w:right="142" w:firstLine="709"/>
        <w:jc w:val="right"/>
        <w:rPr>
          <w:rFonts w:ascii="Times New Roman" w:hAnsi="Times New Roman"/>
          <w:i/>
          <w:sz w:val="24"/>
          <w:szCs w:val="24"/>
          <w:lang w:val="uz-Cyrl-UZ"/>
        </w:rPr>
      </w:pPr>
      <w:r>
        <w:rPr>
          <w:rFonts w:ascii="Times New Roman" w:hAnsi="Times New Roman"/>
          <w:i/>
          <w:sz w:val="24"/>
          <w:szCs w:val="24"/>
          <w:lang w:val="uz-Cyrl-UZ"/>
        </w:rPr>
        <w:t>(6-й рисунок)</w:t>
      </w:r>
    </w:p>
    <w:p w:rsidR="00287639" w:rsidRDefault="00287639" w:rsidP="00287639">
      <w:pPr>
        <w:spacing w:before="40" w:after="0" w:line="288" w:lineRule="auto"/>
        <w:jc w:val="both"/>
        <w:rPr>
          <w:rFonts w:ascii="Times New Roman" w:hAnsi="Times New Roman"/>
          <w:sz w:val="28"/>
          <w:szCs w:val="28"/>
          <w:lang w:val="en-US"/>
        </w:rPr>
      </w:pPr>
      <w:r>
        <w:rPr>
          <w:noProof/>
          <w:lang w:eastAsia="ru-RU"/>
        </w:rPr>
        <w:drawing>
          <wp:inline distT="0" distB="0" distL="0" distR="0">
            <wp:extent cx="5908040" cy="3061335"/>
            <wp:effectExtent l="0" t="0" r="0" b="0"/>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7639" w:rsidRDefault="00287639" w:rsidP="00287639">
      <w:pPr>
        <w:pStyle w:val="a5"/>
        <w:numPr>
          <w:ilvl w:val="0"/>
          <w:numId w:val="4"/>
        </w:numPr>
        <w:tabs>
          <w:tab w:val="left" w:pos="567"/>
        </w:tabs>
        <w:spacing w:after="0" w:line="240" w:lineRule="auto"/>
        <w:ind w:left="0" w:firstLine="0"/>
        <w:jc w:val="center"/>
        <w:rPr>
          <w:rFonts w:ascii="Times New Roman" w:hAnsi="Times New Roman"/>
          <w:b/>
          <w:sz w:val="28"/>
          <w:szCs w:val="28"/>
          <w:lang w:val="uz-Cyrl-UZ"/>
        </w:rPr>
      </w:pPr>
      <w:r>
        <w:rPr>
          <w:rFonts w:ascii="Times New Roman" w:hAnsi="Times New Roman"/>
          <w:b/>
          <w:sz w:val="28"/>
          <w:szCs w:val="28"/>
          <w:lang w:val="uz-Cyrl-UZ"/>
        </w:rPr>
        <w:t>Системы дистанционного обслуживания банковскими счетами</w:t>
      </w:r>
    </w:p>
    <w:p w:rsidR="00287639" w:rsidRDefault="00287639" w:rsidP="00287639">
      <w:pPr>
        <w:tabs>
          <w:tab w:val="left" w:pos="945"/>
        </w:tabs>
        <w:spacing w:after="0" w:line="240" w:lineRule="auto"/>
        <w:jc w:val="both"/>
        <w:rPr>
          <w:rFonts w:ascii="Times New Roman" w:hAnsi="Times New Roman"/>
          <w:b/>
          <w:sz w:val="16"/>
          <w:szCs w:val="16"/>
          <w:lang w:val="uz-Cyrl-UZ"/>
        </w:rPr>
      </w:pP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 xml:space="preserve">Учитывая актуальность дальнейшего повышения качества оказываемых в стране банковских услуг и кардинального улучшения деятельности коммерческих банков для установления полноценных партнерских отношений с субъектами предпринимательства, </w:t>
      </w:r>
      <w:r>
        <w:rPr>
          <w:rFonts w:ascii="Times New Roman" w:hAnsi="Times New Roman"/>
          <w:sz w:val="29"/>
          <w:szCs w:val="29"/>
        </w:rPr>
        <w:t>укрепления восприятия банков предпринимателями и остальным населением</w:t>
      </w:r>
      <w:r w:rsidR="00ED39A6">
        <w:rPr>
          <w:rFonts w:ascii="Times New Roman" w:hAnsi="Times New Roman"/>
          <w:sz w:val="29"/>
          <w:szCs w:val="29"/>
        </w:rPr>
        <w:br/>
      </w:r>
      <w:r>
        <w:rPr>
          <w:rFonts w:ascii="Times New Roman" w:hAnsi="Times New Roman"/>
          <w:sz w:val="29"/>
          <w:szCs w:val="29"/>
        </w:rPr>
        <w:t>в качестве надежного институционального партнера, Центральным банком совместно с коммерческими банками ведутся работы по расширению спектра оказываемых услуг через системы дистанционного обслуживания банковских счетов.</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В том числе, широко внедряются современные технологии, такие как интернет-банкинг, смс-банкинг и мобильный-банкинг, которые являются удобными клиентам банков. В результате оказания клиентам новых услуг на основе современных технологий постепенно увеличивается и количество клиентов банков и доверие к банкам.</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На сегодняшний день через мобильные приложения, которые внедрены коммерческими банками совместно с разработчиками автоматизированных банковских систем (АБС), предлагаются следующие банковские услуги</w:t>
      </w:r>
      <w:r w:rsidR="00ED39A6">
        <w:rPr>
          <w:rFonts w:ascii="Times New Roman" w:hAnsi="Times New Roman"/>
          <w:sz w:val="28"/>
          <w:szCs w:val="28"/>
          <w:lang w:val="uz-Cyrl-UZ"/>
        </w:rPr>
        <w:br/>
      </w:r>
      <w:r>
        <w:rPr>
          <w:rFonts w:ascii="Times New Roman" w:hAnsi="Times New Roman"/>
          <w:sz w:val="28"/>
          <w:szCs w:val="28"/>
          <w:lang w:val="uz-Cyrl-UZ"/>
        </w:rPr>
        <w:t>в режиме реального времени:</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lastRenderedPageBreak/>
        <w:t>Выполнение операций по переводу денежных средств с карты на карту (Р2Р);</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осуществление платежей за сотовую связь, за интернет-провайдера,</w:t>
      </w:r>
      <w:r w:rsidR="00ED39A6">
        <w:rPr>
          <w:rFonts w:ascii="Times New Roman" w:hAnsi="Times New Roman"/>
          <w:sz w:val="28"/>
          <w:szCs w:val="28"/>
          <w:lang w:val="uz-Cyrl-UZ"/>
        </w:rPr>
        <w:br/>
      </w:r>
      <w:r>
        <w:rPr>
          <w:rFonts w:ascii="Times New Roman" w:hAnsi="Times New Roman"/>
          <w:sz w:val="28"/>
          <w:szCs w:val="28"/>
          <w:lang w:val="uz-Cyrl-UZ"/>
        </w:rPr>
        <w:t>за цифровое телевидение, налоговых, бюджетных, коммунальных и многих других платежей;</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блокирование (разблокирование) банковской карты по требованию клиента;</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получение микрозаймов и погашение кредитов для физических лиц;</w:t>
      </w:r>
    </w:p>
    <w:p w:rsidR="00287639" w:rsidRDefault="00287639" w:rsidP="00303862">
      <w:pPr>
        <w:spacing w:before="60" w:after="0" w:line="288" w:lineRule="auto"/>
        <w:ind w:firstLine="720"/>
        <w:jc w:val="both"/>
        <w:rPr>
          <w:rFonts w:ascii="Times New Roman" w:hAnsi="Times New Roman"/>
          <w:sz w:val="28"/>
          <w:szCs w:val="28"/>
        </w:rPr>
      </w:pPr>
      <w:r>
        <w:rPr>
          <w:rFonts w:ascii="Times New Roman" w:hAnsi="Times New Roman"/>
          <w:sz w:val="28"/>
          <w:szCs w:val="28"/>
          <w:lang w:val="uz-Cyrl-UZ"/>
        </w:rPr>
        <w:t>оформление онлайн депозитов, дистанционное открытие депозитных</w:t>
      </w:r>
      <w:r w:rsidR="00ED39A6">
        <w:rPr>
          <w:rFonts w:ascii="Times New Roman" w:hAnsi="Times New Roman"/>
          <w:sz w:val="28"/>
          <w:szCs w:val="28"/>
          <w:lang w:val="uz-Cyrl-UZ"/>
        </w:rPr>
        <w:br/>
      </w:r>
      <w:r>
        <w:rPr>
          <w:rFonts w:ascii="Times New Roman" w:hAnsi="Times New Roman"/>
          <w:sz w:val="28"/>
          <w:szCs w:val="28"/>
          <w:lang w:val="uz-Cyrl-UZ"/>
        </w:rPr>
        <w:t>и ссудных счетов (для клиентов, которым уже открыты банковские счета);</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осуществление и мониторинг плат</w:t>
      </w:r>
      <w:r>
        <w:rPr>
          <w:rFonts w:ascii="Times New Roman" w:hAnsi="Times New Roman"/>
          <w:sz w:val="28"/>
          <w:szCs w:val="28"/>
        </w:rPr>
        <w:t>е</w:t>
      </w:r>
      <w:r>
        <w:rPr>
          <w:rFonts w:ascii="Times New Roman" w:hAnsi="Times New Roman"/>
          <w:sz w:val="28"/>
          <w:szCs w:val="28"/>
          <w:lang w:val="uz-Cyrl-UZ"/>
        </w:rPr>
        <w:t>жей со счетов международных банковских карт, услуги онлайн конверсий;</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получение информации о дислокации банковских инфраструктур (филиалы, обменные пункты, банкоматы и инфокиоски);</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по усмотрению клиента зачисление средств, поступивших через системы международных денежных переводов на банковский счет (или на банковскую карту).</w:t>
      </w:r>
    </w:p>
    <w:p w:rsidR="00287639" w:rsidRPr="00303862" w:rsidRDefault="00287639" w:rsidP="00303862">
      <w:pPr>
        <w:spacing w:before="60" w:after="0" w:line="288" w:lineRule="auto"/>
        <w:ind w:firstLine="720"/>
        <w:jc w:val="both"/>
        <w:rPr>
          <w:rFonts w:ascii="Times New Roman" w:hAnsi="Times New Roman"/>
          <w:sz w:val="28"/>
          <w:szCs w:val="28"/>
          <w:lang w:val="uz-Cyrl-UZ"/>
        </w:rPr>
      </w:pPr>
      <w:r w:rsidRPr="00303862">
        <w:rPr>
          <w:rFonts w:ascii="Times New Roman" w:hAnsi="Times New Roman"/>
          <w:sz w:val="28"/>
          <w:szCs w:val="28"/>
          <w:lang w:val="uz-Cyrl-UZ"/>
        </w:rPr>
        <w:t>В свою очередь, следует отметить, что постепенное увеличение видов</w:t>
      </w:r>
      <w:r w:rsidR="00ED39A6" w:rsidRPr="00303862">
        <w:rPr>
          <w:rFonts w:ascii="Times New Roman" w:hAnsi="Times New Roman"/>
          <w:sz w:val="28"/>
          <w:szCs w:val="28"/>
          <w:lang w:val="uz-Cyrl-UZ"/>
        </w:rPr>
        <w:br/>
      </w:r>
      <w:r w:rsidRPr="00303862">
        <w:rPr>
          <w:rFonts w:ascii="Times New Roman" w:hAnsi="Times New Roman"/>
          <w:sz w:val="28"/>
          <w:szCs w:val="28"/>
          <w:lang w:val="uz-Cyrl-UZ"/>
        </w:rPr>
        <w:t>и объемов оказываемых клиентам услуг посредством мобильных приложений коммерческих банков, взято под контроль в рамках обеспечения исполнения Программы мер разработанного Центральным банком.</w:t>
      </w:r>
    </w:p>
    <w:p w:rsidR="00287639" w:rsidRPr="00303862" w:rsidRDefault="00287639" w:rsidP="00303862">
      <w:pPr>
        <w:spacing w:before="60" w:after="0" w:line="288" w:lineRule="auto"/>
        <w:ind w:firstLine="720"/>
        <w:jc w:val="both"/>
        <w:rPr>
          <w:rFonts w:ascii="Times New Roman" w:hAnsi="Times New Roman"/>
          <w:sz w:val="28"/>
          <w:szCs w:val="28"/>
        </w:rPr>
      </w:pPr>
      <w:r w:rsidRPr="00303862">
        <w:rPr>
          <w:rFonts w:ascii="Times New Roman" w:hAnsi="Times New Roman"/>
          <w:sz w:val="28"/>
          <w:szCs w:val="28"/>
        </w:rPr>
        <w:t>Необходимо указать, что общее число пользователей систем дистанционного обслуживания банковскими счетами по состоянию</w:t>
      </w:r>
      <w:r w:rsidR="00ED39A6" w:rsidRPr="00303862">
        <w:rPr>
          <w:rFonts w:ascii="Times New Roman" w:hAnsi="Times New Roman"/>
          <w:sz w:val="28"/>
          <w:szCs w:val="28"/>
        </w:rPr>
        <w:br/>
      </w:r>
      <w:r w:rsidRPr="00303862">
        <w:rPr>
          <w:rFonts w:ascii="Times New Roman" w:hAnsi="Times New Roman"/>
          <w:sz w:val="28"/>
          <w:szCs w:val="28"/>
        </w:rPr>
        <w:t>на 1 апреля 2019 года составило 9 371 447, из них юридических лиц</w:t>
      </w:r>
      <w:r w:rsidR="00ED39A6" w:rsidRPr="00303862">
        <w:rPr>
          <w:rFonts w:ascii="Times New Roman" w:hAnsi="Times New Roman"/>
          <w:sz w:val="28"/>
          <w:szCs w:val="28"/>
        </w:rPr>
        <w:br/>
      </w:r>
      <w:r w:rsidRPr="00303862">
        <w:rPr>
          <w:rFonts w:ascii="Times New Roman" w:hAnsi="Times New Roman"/>
          <w:sz w:val="28"/>
          <w:szCs w:val="28"/>
        </w:rPr>
        <w:t>и индивидуальных предпринимателей – 498 936, а физических лиц – 8 872 511. По сравнению с состоянием на 1 января 2019 года (7 959 107) общее число пользователей дистанционными банковскими услугами увеличилось на 117,7%, соответственно число юридических лиц</w:t>
      </w:r>
      <w:r w:rsidR="00ED39A6" w:rsidRPr="00303862">
        <w:rPr>
          <w:rFonts w:ascii="Times New Roman" w:hAnsi="Times New Roman"/>
          <w:sz w:val="28"/>
          <w:szCs w:val="28"/>
        </w:rPr>
        <w:br/>
      </w:r>
      <w:r w:rsidRPr="00303862">
        <w:rPr>
          <w:rFonts w:ascii="Times New Roman" w:hAnsi="Times New Roman"/>
          <w:sz w:val="28"/>
          <w:szCs w:val="28"/>
        </w:rPr>
        <w:t xml:space="preserve">и индивидуальных предпринимателей (359 770) </w:t>
      </w:r>
      <w:r w:rsidR="00303862" w:rsidRPr="00303862">
        <w:rPr>
          <w:rFonts w:ascii="Times New Roman" w:hAnsi="Times New Roman"/>
          <w:sz w:val="28"/>
          <w:szCs w:val="28"/>
        </w:rPr>
        <w:t>–</w:t>
      </w:r>
      <w:r w:rsidRPr="00303862">
        <w:rPr>
          <w:rFonts w:ascii="Times New Roman" w:hAnsi="Times New Roman"/>
          <w:sz w:val="28"/>
          <w:szCs w:val="28"/>
        </w:rPr>
        <w:t xml:space="preserve"> на 138,7% и число физических лиц (7 599 337) - на 116,8% </w:t>
      </w:r>
      <w:r w:rsidRPr="00303862">
        <w:rPr>
          <w:rFonts w:ascii="Times New Roman" w:hAnsi="Times New Roman"/>
          <w:i/>
          <w:sz w:val="28"/>
          <w:szCs w:val="28"/>
        </w:rPr>
        <w:t>(7-й рисунок).</w:t>
      </w:r>
    </w:p>
    <w:p w:rsidR="00744191" w:rsidRDefault="00744191">
      <w:pPr>
        <w:rPr>
          <w:rFonts w:ascii="Times New Roman" w:hAnsi="Times New Roman"/>
          <w:i/>
          <w:sz w:val="24"/>
          <w:szCs w:val="24"/>
        </w:rPr>
      </w:pPr>
      <w:r>
        <w:rPr>
          <w:rFonts w:ascii="Times New Roman" w:hAnsi="Times New Roman"/>
          <w:i/>
          <w:sz w:val="24"/>
          <w:szCs w:val="24"/>
        </w:rPr>
        <w:br w:type="page"/>
      </w:r>
    </w:p>
    <w:p w:rsidR="00287639" w:rsidRDefault="00287639" w:rsidP="00287639">
      <w:pPr>
        <w:spacing w:before="60" w:after="0" w:line="288" w:lineRule="auto"/>
        <w:ind w:firstLine="709"/>
        <w:jc w:val="right"/>
        <w:rPr>
          <w:rFonts w:ascii="Times New Roman" w:hAnsi="Times New Roman"/>
          <w:i/>
          <w:sz w:val="24"/>
          <w:szCs w:val="24"/>
        </w:rPr>
      </w:pPr>
      <w:r>
        <w:rPr>
          <w:rFonts w:ascii="Times New Roman" w:hAnsi="Times New Roman"/>
          <w:i/>
          <w:sz w:val="24"/>
          <w:szCs w:val="24"/>
        </w:rPr>
        <w:lastRenderedPageBreak/>
        <w:t>(7-й рисунок)</w:t>
      </w:r>
    </w:p>
    <w:p w:rsidR="00287639" w:rsidRDefault="004A4E10" w:rsidP="00287639">
      <w:pPr>
        <w:jc w:val="center"/>
        <w:rPr>
          <w:rFonts w:ascii="Times New Roman" w:hAnsi="Times New Roman"/>
          <w:sz w:val="28"/>
          <w:szCs w:val="28"/>
          <w:lang w:val="uz-Cyrl-UZ"/>
        </w:rPr>
      </w:pPr>
      <w:r w:rsidRPr="004A4E10">
        <w:pict>
          <v:shape id="_x0000_s1104" type="#_x0000_t202" style="position:absolute;left:0;text-align:left;margin-left:35.55pt;margin-top:8.2pt;width:396.55pt;height:48.45pt;z-index:251656704;mso-height-percent:200;mso-height-percent:200;mso-width-relative:margin;mso-height-relative:margin" stroked="f">
            <v:textbox style="mso-fit-shape-to-text:t">
              <w:txbxContent>
                <w:p w:rsidR="00287639" w:rsidRDefault="00287639" w:rsidP="00287639">
                  <w:pPr>
                    <w:jc w:val="center"/>
                    <w:rPr>
                      <w:b/>
                    </w:rPr>
                  </w:pPr>
                  <w:r>
                    <w:rPr>
                      <w:b/>
                    </w:rPr>
                    <w:t xml:space="preserve">Количество пользователей систем дистанционного обслуживания банковскими счетами в Республике Узбекистан по состоянию на 1 апреля, </w:t>
                  </w:r>
                  <w:r>
                    <w:rPr>
                      <w:b/>
                      <w:i/>
                    </w:rPr>
                    <w:t>чел.</w:t>
                  </w:r>
                </w:p>
              </w:txbxContent>
            </v:textbox>
          </v:shape>
        </w:pict>
      </w:r>
      <w:r w:rsidR="00287639">
        <w:rPr>
          <w:noProof/>
          <w:lang w:eastAsia="ru-RU"/>
        </w:rPr>
        <w:drawing>
          <wp:inline distT="0" distB="0" distL="0" distR="0">
            <wp:extent cx="5820410" cy="3315970"/>
            <wp:effectExtent l="0" t="0" r="0" b="0"/>
            <wp:docPr id="6"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Кроме того, наряду с удобствами систем дистанционного обслуживания банковскими счетами в сравнении с традиционными банковскими услугами с точки зрения экономии времени, расходов</w:t>
      </w:r>
      <w:r w:rsidR="00ED39A6">
        <w:rPr>
          <w:rFonts w:ascii="Times New Roman" w:hAnsi="Times New Roman"/>
          <w:sz w:val="28"/>
          <w:szCs w:val="28"/>
          <w:lang w:val="uz-Cyrl-UZ"/>
        </w:rPr>
        <w:br/>
      </w:r>
      <w:r>
        <w:rPr>
          <w:rFonts w:ascii="Times New Roman" w:hAnsi="Times New Roman"/>
          <w:sz w:val="28"/>
          <w:szCs w:val="28"/>
          <w:lang w:val="uz-Cyrl-UZ"/>
        </w:rPr>
        <w:t>и трудовой силы, такие услуги банки предлагают своим клиентам</w:t>
      </w:r>
      <w:r w:rsidR="00ED39A6">
        <w:rPr>
          <w:rFonts w:ascii="Times New Roman" w:hAnsi="Times New Roman"/>
          <w:sz w:val="28"/>
          <w:szCs w:val="28"/>
          <w:lang w:val="uz-Cyrl-UZ"/>
        </w:rPr>
        <w:br/>
      </w:r>
      <w:r>
        <w:rPr>
          <w:rFonts w:ascii="Times New Roman" w:hAnsi="Times New Roman"/>
          <w:sz w:val="28"/>
          <w:szCs w:val="28"/>
          <w:lang w:val="uz-Cyrl-UZ"/>
        </w:rPr>
        <w:t>в привлекательных тарифах.</w:t>
      </w: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Кроме того, небанковские платежные организации тоже предлагают держателям банковских платежных карт современные дистанционные услуги с использованием инновационных технологий.</w:t>
      </w:r>
    </w:p>
    <w:p w:rsidR="00744191" w:rsidRDefault="00744191" w:rsidP="00303862">
      <w:pPr>
        <w:spacing w:before="60" w:after="0" w:line="288" w:lineRule="auto"/>
        <w:ind w:firstLine="720"/>
        <w:jc w:val="both"/>
        <w:rPr>
          <w:rFonts w:ascii="Times New Roman" w:hAnsi="Times New Roman"/>
          <w:sz w:val="28"/>
          <w:szCs w:val="28"/>
        </w:rPr>
      </w:pPr>
    </w:p>
    <w:p w:rsidR="00287639" w:rsidRDefault="00287639" w:rsidP="00287639">
      <w:pPr>
        <w:pStyle w:val="a5"/>
        <w:numPr>
          <w:ilvl w:val="0"/>
          <w:numId w:val="4"/>
        </w:numPr>
        <w:tabs>
          <w:tab w:val="left" w:pos="567"/>
        </w:tabs>
        <w:spacing w:after="0" w:line="240" w:lineRule="auto"/>
        <w:ind w:left="0" w:firstLine="0"/>
        <w:jc w:val="center"/>
        <w:rPr>
          <w:rFonts w:ascii="Times New Roman" w:hAnsi="Times New Roman"/>
          <w:b/>
          <w:sz w:val="28"/>
          <w:szCs w:val="28"/>
          <w:lang w:val="uz-Cyrl-UZ"/>
        </w:rPr>
      </w:pPr>
      <w:r>
        <w:rPr>
          <w:rFonts w:ascii="Times New Roman" w:hAnsi="Times New Roman"/>
          <w:b/>
          <w:sz w:val="28"/>
          <w:szCs w:val="28"/>
          <w:lang w:val="uz-Cyrl-UZ"/>
        </w:rPr>
        <w:t>Развитие инфраструктуры системы банковских карт</w:t>
      </w:r>
    </w:p>
    <w:p w:rsidR="00287639" w:rsidRDefault="00287639" w:rsidP="00287639">
      <w:pPr>
        <w:spacing w:before="40" w:after="0" w:line="288" w:lineRule="auto"/>
        <w:jc w:val="center"/>
        <w:rPr>
          <w:rFonts w:ascii="Times New Roman" w:hAnsi="Times New Roman"/>
          <w:b/>
          <w:sz w:val="16"/>
          <w:szCs w:val="16"/>
          <w:lang w:val="uz-Cyrl-UZ"/>
        </w:rPr>
      </w:pPr>
    </w:p>
    <w:p w:rsidR="00287639" w:rsidRDefault="00287639" w:rsidP="00303862">
      <w:pPr>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Если остановиться на развитии инфраструктуры банковских пластиковых карточек в стране, по состоянию на 1 апреля 2019 года</w:t>
      </w:r>
      <w:r w:rsidR="000F1B75">
        <w:rPr>
          <w:rFonts w:ascii="Times New Roman" w:hAnsi="Times New Roman"/>
          <w:sz w:val="28"/>
          <w:szCs w:val="28"/>
          <w:lang w:val="uz-Cyrl-UZ"/>
        </w:rPr>
        <w:br/>
      </w:r>
      <w:r>
        <w:rPr>
          <w:rFonts w:ascii="Times New Roman" w:hAnsi="Times New Roman"/>
          <w:sz w:val="28"/>
          <w:szCs w:val="28"/>
          <w:lang w:val="uz-Cyrl-UZ"/>
        </w:rPr>
        <w:t>в обращении находились 18 192 тыс. банковских пластиковых карточек и их количество выросло на более чем 500 тыс. в сравнении с количеством</w:t>
      </w:r>
      <w:r w:rsidR="000F1B75">
        <w:rPr>
          <w:rFonts w:ascii="Times New Roman" w:hAnsi="Times New Roman"/>
          <w:sz w:val="28"/>
          <w:szCs w:val="28"/>
          <w:lang w:val="uz-Cyrl-UZ"/>
        </w:rPr>
        <w:br/>
      </w:r>
      <w:r>
        <w:rPr>
          <w:rFonts w:ascii="Times New Roman" w:hAnsi="Times New Roman"/>
          <w:sz w:val="28"/>
          <w:szCs w:val="28"/>
          <w:lang w:val="uz-Cyrl-UZ"/>
        </w:rPr>
        <w:t>по состоянию на 1 января 2019 года. Если количество платежных терминалов по состоянию на 1 апреля 2018 года составило 238 155, то по состоянию</w:t>
      </w:r>
      <w:r w:rsidR="000F1B75">
        <w:rPr>
          <w:rFonts w:ascii="Times New Roman" w:hAnsi="Times New Roman"/>
          <w:sz w:val="28"/>
          <w:szCs w:val="28"/>
          <w:lang w:val="uz-Cyrl-UZ"/>
        </w:rPr>
        <w:br/>
      </w:r>
      <w:r>
        <w:rPr>
          <w:rFonts w:ascii="Times New Roman" w:hAnsi="Times New Roman"/>
          <w:sz w:val="28"/>
          <w:szCs w:val="28"/>
          <w:lang w:val="uz-Cyrl-UZ"/>
        </w:rPr>
        <w:t>на</w:t>
      </w:r>
      <w:r w:rsidR="000F1B75">
        <w:rPr>
          <w:rFonts w:ascii="Times New Roman" w:hAnsi="Times New Roman"/>
          <w:sz w:val="28"/>
          <w:szCs w:val="28"/>
          <w:lang w:val="uz-Cyrl-UZ"/>
        </w:rPr>
        <w:t xml:space="preserve"> </w:t>
      </w:r>
      <w:r>
        <w:rPr>
          <w:rFonts w:ascii="Times New Roman" w:hAnsi="Times New Roman"/>
          <w:sz w:val="28"/>
          <w:szCs w:val="28"/>
          <w:lang w:val="uz-Cyrl-UZ"/>
        </w:rPr>
        <w:t xml:space="preserve">1 апреля 2019 года их количество составило 250 200 штук. А количество банкоматов и инфокиосков составило по состоянию на 1 апреля 2018 года 6 069 штук и по состоянию на 1 апреля 2019 года 7 495 штук </w:t>
      </w:r>
      <w:r>
        <w:rPr>
          <w:rFonts w:ascii="Times New Roman" w:hAnsi="Times New Roman"/>
          <w:i/>
          <w:sz w:val="28"/>
          <w:szCs w:val="28"/>
          <w:lang w:val="uz-Cyrl-UZ"/>
        </w:rPr>
        <w:t>(8-10-рисунки)</w:t>
      </w:r>
      <w:r>
        <w:rPr>
          <w:rFonts w:ascii="Times New Roman" w:hAnsi="Times New Roman"/>
          <w:sz w:val="28"/>
          <w:szCs w:val="28"/>
          <w:lang w:val="uz-Cyrl-UZ"/>
        </w:rPr>
        <w:t>.</w:t>
      </w:r>
    </w:p>
    <w:p w:rsidR="000F1B75" w:rsidRDefault="000F1B75" w:rsidP="00303862">
      <w:pPr>
        <w:spacing w:before="60" w:after="0" w:line="288" w:lineRule="auto"/>
        <w:ind w:firstLine="720"/>
        <w:jc w:val="both"/>
        <w:rPr>
          <w:rFonts w:ascii="Times New Roman" w:hAnsi="Times New Roman"/>
          <w:sz w:val="28"/>
          <w:szCs w:val="28"/>
          <w:lang w:val="uz-Cyrl-UZ"/>
        </w:rPr>
      </w:pPr>
    </w:p>
    <w:p w:rsidR="000F1B75" w:rsidRDefault="000F1B75" w:rsidP="00303862">
      <w:pPr>
        <w:spacing w:before="60" w:after="0" w:line="288" w:lineRule="auto"/>
        <w:ind w:firstLine="720"/>
        <w:jc w:val="both"/>
        <w:rPr>
          <w:rFonts w:ascii="Times New Roman" w:hAnsi="Times New Roman"/>
          <w:sz w:val="28"/>
          <w:szCs w:val="28"/>
          <w:lang w:val="uz-Cyrl-UZ"/>
        </w:rPr>
      </w:pPr>
    </w:p>
    <w:p w:rsidR="00287639" w:rsidRDefault="00287639" w:rsidP="00287639">
      <w:pPr>
        <w:spacing w:before="60" w:after="0" w:line="264" w:lineRule="auto"/>
        <w:ind w:right="283" w:firstLine="709"/>
        <w:jc w:val="right"/>
        <w:rPr>
          <w:rFonts w:ascii="Times New Roman" w:hAnsi="Times New Roman"/>
          <w:i/>
          <w:sz w:val="24"/>
          <w:szCs w:val="24"/>
          <w:lang w:val="uz-Cyrl-UZ"/>
        </w:rPr>
      </w:pPr>
      <w:r>
        <w:rPr>
          <w:rFonts w:ascii="Times New Roman" w:hAnsi="Times New Roman"/>
          <w:i/>
          <w:sz w:val="24"/>
          <w:szCs w:val="24"/>
          <w:lang w:val="uz-Cyrl-UZ"/>
        </w:rPr>
        <w:lastRenderedPageBreak/>
        <w:t>(8-рисунок)</w:t>
      </w:r>
    </w:p>
    <w:p w:rsidR="00744191" w:rsidRDefault="00744191" w:rsidP="00287639">
      <w:pPr>
        <w:spacing w:before="60" w:after="0" w:line="264" w:lineRule="auto"/>
        <w:ind w:right="283" w:firstLine="709"/>
        <w:jc w:val="right"/>
        <w:rPr>
          <w:rFonts w:ascii="Times New Roman" w:hAnsi="Times New Roman"/>
          <w:i/>
          <w:sz w:val="14"/>
          <w:szCs w:val="14"/>
          <w:lang w:val="uz-Cyrl-UZ"/>
        </w:rPr>
      </w:pPr>
    </w:p>
    <w:p w:rsidR="00287639" w:rsidRDefault="004A4E10" w:rsidP="00287639">
      <w:pPr>
        <w:jc w:val="center"/>
        <w:rPr>
          <w:rFonts w:ascii="Times New Roman" w:hAnsi="Times New Roman"/>
          <w:color w:val="000000"/>
          <w:sz w:val="28"/>
          <w:szCs w:val="28"/>
          <w:lang w:val="uz-Cyrl-UZ"/>
        </w:rPr>
      </w:pPr>
      <w:r w:rsidRPr="004A4E10">
        <w:pict>
          <v:shape id="_x0000_s1089" type="#_x0000_t202" style="position:absolute;left:0;text-align:left;margin-left:107.65pt;margin-top:221.8pt;width:67.85pt;height:20.75pt;z-index:251657728;mso-width-relative:margin;mso-height-relative:margin" stroked="f">
            <v:textbox style="mso-next-textbox:#_x0000_s1089">
              <w:txbxContent>
                <w:p w:rsidR="00287639" w:rsidRDefault="00287639" w:rsidP="00287639">
                  <w:pPr>
                    <w:rPr>
                      <w:lang w:val="uz-Cyrl-UZ"/>
                    </w:rPr>
                  </w:pPr>
                  <w:r>
                    <w:rPr>
                      <w:lang w:val="uz-Cyrl-UZ"/>
                    </w:rPr>
                    <w:t>01.04.2017</w:t>
                  </w:r>
                </w:p>
              </w:txbxContent>
            </v:textbox>
          </v:shape>
        </w:pict>
      </w:r>
      <w:r w:rsidRPr="004A4E10">
        <w:pict>
          <v:shape id="_x0000_s1090" type="#_x0000_t202" style="position:absolute;left:0;text-align:left;margin-left:197.75pt;margin-top:221.8pt;width:67.85pt;height:20.75pt;z-index:251658752;mso-width-relative:margin;mso-height-relative:margin" stroked="f">
            <v:textbox style="mso-next-textbox:#_x0000_s1090">
              <w:txbxContent>
                <w:p w:rsidR="00287639" w:rsidRDefault="00287639" w:rsidP="00287639">
                  <w:pPr>
                    <w:rPr>
                      <w:lang w:val="uz-Cyrl-UZ"/>
                    </w:rPr>
                  </w:pPr>
                  <w:r>
                    <w:rPr>
                      <w:lang w:val="uz-Cyrl-UZ"/>
                    </w:rPr>
                    <w:t>01.04.2018</w:t>
                  </w:r>
                </w:p>
              </w:txbxContent>
            </v:textbox>
          </v:shape>
        </w:pict>
      </w:r>
      <w:r w:rsidRPr="004A4E10">
        <w:pict>
          <v:shape id="_x0000_s1091" type="#_x0000_t202" style="position:absolute;left:0;text-align:left;margin-left:291.5pt;margin-top:221.8pt;width:67.85pt;height:20.75pt;z-index:251659776;mso-width-relative:margin;mso-height-relative:margin" stroked="f">
            <v:textbox>
              <w:txbxContent>
                <w:p w:rsidR="00287639" w:rsidRDefault="00287639" w:rsidP="00287639">
                  <w:pPr>
                    <w:rPr>
                      <w:lang w:val="uz-Cyrl-UZ"/>
                    </w:rPr>
                  </w:pPr>
                  <w:r>
                    <w:rPr>
                      <w:lang w:val="uz-Cyrl-UZ"/>
                    </w:rPr>
                    <w:t>01.04.2019</w:t>
                  </w:r>
                </w:p>
              </w:txbxContent>
            </v:textbox>
          </v:shape>
        </w:pict>
      </w:r>
      <w:r w:rsidR="00287639">
        <w:rPr>
          <w:noProof/>
          <w:color w:val="000000"/>
          <w:lang w:eastAsia="ru-RU"/>
        </w:rPr>
        <w:drawing>
          <wp:inline distT="0" distB="0" distL="0" distR="0">
            <wp:extent cx="5671358" cy="3197225"/>
            <wp:effectExtent l="19050" t="0" r="24592" b="3175"/>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7639" w:rsidRDefault="00287639" w:rsidP="00287639">
      <w:pPr>
        <w:spacing w:before="60" w:after="0" w:line="264" w:lineRule="auto"/>
        <w:ind w:right="283" w:firstLine="709"/>
        <w:jc w:val="right"/>
        <w:rPr>
          <w:rFonts w:ascii="Times New Roman" w:hAnsi="Times New Roman"/>
          <w:i/>
          <w:sz w:val="24"/>
          <w:szCs w:val="24"/>
          <w:lang w:val="uz-Cyrl-UZ"/>
        </w:rPr>
      </w:pPr>
      <w:r>
        <w:rPr>
          <w:rFonts w:ascii="Times New Roman" w:hAnsi="Times New Roman"/>
          <w:i/>
          <w:sz w:val="24"/>
          <w:szCs w:val="24"/>
          <w:lang w:val="uz-Cyrl-UZ"/>
        </w:rPr>
        <w:t>(9-рисунок)</w:t>
      </w:r>
    </w:p>
    <w:p w:rsidR="00744191" w:rsidRPr="00744191" w:rsidRDefault="00744191" w:rsidP="00287639">
      <w:pPr>
        <w:spacing w:before="60" w:after="0" w:line="264" w:lineRule="auto"/>
        <w:ind w:right="283" w:firstLine="709"/>
        <w:jc w:val="right"/>
        <w:rPr>
          <w:rFonts w:ascii="Times New Roman" w:hAnsi="Times New Roman"/>
          <w:i/>
          <w:sz w:val="14"/>
          <w:szCs w:val="14"/>
          <w:lang w:val="uz-Cyrl-UZ"/>
        </w:rPr>
      </w:pPr>
    </w:p>
    <w:p w:rsidR="00287639" w:rsidRDefault="004A4E10" w:rsidP="00287639">
      <w:pPr>
        <w:jc w:val="center"/>
        <w:rPr>
          <w:rFonts w:ascii="Times New Roman" w:hAnsi="Times New Roman"/>
          <w:color w:val="000000"/>
          <w:sz w:val="28"/>
          <w:szCs w:val="28"/>
          <w:lang w:val="uz-Cyrl-UZ"/>
        </w:rPr>
      </w:pPr>
      <w:r w:rsidRPr="004A4E10">
        <w:pict>
          <v:shape id="_x0000_s1094" type="#_x0000_t202" style="position:absolute;left:0;text-align:left;margin-left:259pt;margin-top:201.6pt;width:67.85pt;height:20.75pt;z-index:251660800;mso-width-relative:margin;mso-height-relative:margin" stroked="f">
            <v:textbox>
              <w:txbxContent>
                <w:p w:rsidR="00287639" w:rsidRDefault="00287639" w:rsidP="00287639">
                  <w:pPr>
                    <w:rPr>
                      <w:lang w:val="uz-Cyrl-UZ"/>
                    </w:rPr>
                  </w:pPr>
                  <w:r>
                    <w:rPr>
                      <w:lang w:val="uz-Cyrl-UZ"/>
                    </w:rPr>
                    <w:t>01.04.2019</w:t>
                  </w:r>
                </w:p>
              </w:txbxContent>
            </v:textbox>
          </v:shape>
        </w:pict>
      </w:r>
      <w:r w:rsidRPr="004A4E10">
        <w:pict>
          <v:shape id="_x0000_s1093" type="#_x0000_t202" style="position:absolute;left:0;text-align:left;margin-left:167.95pt;margin-top:201.6pt;width:67.85pt;height:20.75pt;z-index:251661824;mso-width-relative:margin;mso-height-relative:margin" stroked="f">
            <v:textbox style="mso-next-textbox:#_x0000_s1093">
              <w:txbxContent>
                <w:p w:rsidR="00287639" w:rsidRDefault="00287639" w:rsidP="00287639">
                  <w:pPr>
                    <w:rPr>
                      <w:lang w:val="uz-Cyrl-UZ"/>
                    </w:rPr>
                  </w:pPr>
                  <w:r>
                    <w:rPr>
                      <w:lang w:val="uz-Cyrl-UZ"/>
                    </w:rPr>
                    <w:t>01.04.2018</w:t>
                  </w:r>
                </w:p>
              </w:txbxContent>
            </v:textbox>
          </v:shape>
        </w:pict>
      </w:r>
      <w:r w:rsidRPr="004A4E10">
        <w:pict>
          <v:shape id="_x0000_s1092" type="#_x0000_t202" style="position:absolute;left:0;text-align:left;margin-left:85.45pt;margin-top:201.6pt;width:67.85pt;height:20.75pt;z-index:251662848;mso-width-relative:margin;mso-height-relative:margin" stroked="f">
            <v:textbox>
              <w:txbxContent>
                <w:p w:rsidR="00287639" w:rsidRDefault="00287639" w:rsidP="00287639">
                  <w:pPr>
                    <w:rPr>
                      <w:lang w:val="uz-Cyrl-UZ"/>
                    </w:rPr>
                  </w:pPr>
                  <w:r>
                    <w:rPr>
                      <w:lang w:val="uz-Cyrl-UZ"/>
                    </w:rPr>
                    <w:t>01.04.2017</w:t>
                  </w:r>
                </w:p>
              </w:txbxContent>
            </v:textbox>
          </v:shape>
        </w:pict>
      </w:r>
      <w:r w:rsidR="00287639">
        <w:rPr>
          <w:noProof/>
          <w:color w:val="000000"/>
          <w:lang w:eastAsia="ru-RU"/>
        </w:rPr>
        <w:drawing>
          <wp:inline distT="0" distB="0" distL="0" distR="0">
            <wp:extent cx="5502275" cy="298958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1B75" w:rsidRDefault="000F1B75" w:rsidP="00287639">
      <w:pPr>
        <w:spacing w:before="60" w:after="0" w:line="264" w:lineRule="auto"/>
        <w:ind w:right="283" w:firstLine="709"/>
        <w:jc w:val="right"/>
        <w:rPr>
          <w:rFonts w:ascii="Times New Roman" w:hAnsi="Times New Roman"/>
          <w:i/>
          <w:sz w:val="24"/>
          <w:szCs w:val="24"/>
          <w:lang w:val="uz-Cyrl-UZ"/>
        </w:rPr>
      </w:pPr>
    </w:p>
    <w:p w:rsidR="000F1B75" w:rsidRDefault="000F1B75" w:rsidP="00287639">
      <w:pPr>
        <w:spacing w:before="60" w:after="0" w:line="264" w:lineRule="auto"/>
        <w:ind w:right="283" w:firstLine="709"/>
        <w:jc w:val="right"/>
        <w:rPr>
          <w:rFonts w:ascii="Times New Roman" w:hAnsi="Times New Roman"/>
          <w:i/>
          <w:sz w:val="24"/>
          <w:szCs w:val="24"/>
          <w:lang w:val="uz-Cyrl-UZ"/>
        </w:rPr>
      </w:pPr>
    </w:p>
    <w:p w:rsidR="000F1B75" w:rsidRDefault="000F1B75" w:rsidP="00287639">
      <w:pPr>
        <w:spacing w:before="60" w:after="0" w:line="264" w:lineRule="auto"/>
        <w:ind w:right="283" w:firstLine="709"/>
        <w:jc w:val="right"/>
        <w:rPr>
          <w:rFonts w:ascii="Times New Roman" w:hAnsi="Times New Roman"/>
          <w:i/>
          <w:sz w:val="24"/>
          <w:szCs w:val="24"/>
          <w:lang w:val="uz-Cyrl-UZ"/>
        </w:rPr>
      </w:pPr>
    </w:p>
    <w:p w:rsidR="000F1B75" w:rsidRDefault="000F1B75" w:rsidP="00287639">
      <w:pPr>
        <w:spacing w:before="60" w:after="0" w:line="264" w:lineRule="auto"/>
        <w:ind w:right="283" w:firstLine="709"/>
        <w:jc w:val="right"/>
        <w:rPr>
          <w:rFonts w:ascii="Times New Roman" w:hAnsi="Times New Roman"/>
          <w:i/>
          <w:sz w:val="24"/>
          <w:szCs w:val="24"/>
          <w:lang w:val="uz-Cyrl-UZ"/>
        </w:rPr>
      </w:pPr>
    </w:p>
    <w:p w:rsidR="000F1B75" w:rsidRDefault="000F1B75" w:rsidP="00287639">
      <w:pPr>
        <w:spacing w:before="60" w:after="0" w:line="264" w:lineRule="auto"/>
        <w:ind w:right="283" w:firstLine="709"/>
        <w:jc w:val="right"/>
        <w:rPr>
          <w:rFonts w:ascii="Times New Roman" w:hAnsi="Times New Roman"/>
          <w:i/>
          <w:sz w:val="24"/>
          <w:szCs w:val="24"/>
          <w:lang w:val="uz-Cyrl-UZ"/>
        </w:rPr>
      </w:pPr>
    </w:p>
    <w:p w:rsidR="000F1B75" w:rsidRDefault="000F1B75" w:rsidP="00287639">
      <w:pPr>
        <w:spacing w:before="60" w:after="0" w:line="264" w:lineRule="auto"/>
        <w:ind w:right="283" w:firstLine="709"/>
        <w:jc w:val="right"/>
        <w:rPr>
          <w:rFonts w:ascii="Times New Roman" w:hAnsi="Times New Roman"/>
          <w:i/>
          <w:sz w:val="24"/>
          <w:szCs w:val="24"/>
          <w:lang w:val="uz-Cyrl-UZ"/>
        </w:rPr>
      </w:pPr>
    </w:p>
    <w:p w:rsidR="000F1B75" w:rsidRDefault="000F1B75" w:rsidP="00287639">
      <w:pPr>
        <w:spacing w:before="60" w:after="0" w:line="264" w:lineRule="auto"/>
        <w:ind w:right="283" w:firstLine="709"/>
        <w:jc w:val="right"/>
        <w:rPr>
          <w:rFonts w:ascii="Times New Roman" w:hAnsi="Times New Roman"/>
          <w:i/>
          <w:sz w:val="24"/>
          <w:szCs w:val="24"/>
          <w:lang w:val="uz-Cyrl-UZ"/>
        </w:rPr>
      </w:pPr>
    </w:p>
    <w:p w:rsidR="000F1B75" w:rsidRDefault="000F1B75" w:rsidP="00287639">
      <w:pPr>
        <w:spacing w:before="60" w:after="0" w:line="264" w:lineRule="auto"/>
        <w:ind w:right="283" w:firstLine="709"/>
        <w:jc w:val="right"/>
        <w:rPr>
          <w:rFonts w:ascii="Times New Roman" w:hAnsi="Times New Roman"/>
          <w:i/>
          <w:sz w:val="24"/>
          <w:szCs w:val="24"/>
          <w:lang w:val="uz-Cyrl-UZ"/>
        </w:rPr>
      </w:pPr>
    </w:p>
    <w:p w:rsidR="000F1B75" w:rsidRDefault="000F1B75" w:rsidP="00287639">
      <w:pPr>
        <w:spacing w:before="60" w:after="0" w:line="264" w:lineRule="auto"/>
        <w:ind w:right="283" w:firstLine="709"/>
        <w:jc w:val="right"/>
        <w:rPr>
          <w:rFonts w:ascii="Times New Roman" w:hAnsi="Times New Roman"/>
          <w:i/>
          <w:sz w:val="24"/>
          <w:szCs w:val="24"/>
          <w:lang w:val="uz-Cyrl-UZ"/>
        </w:rPr>
      </w:pPr>
    </w:p>
    <w:p w:rsidR="000F1B75" w:rsidRDefault="000F1B75" w:rsidP="00287639">
      <w:pPr>
        <w:spacing w:before="60" w:after="0" w:line="264" w:lineRule="auto"/>
        <w:ind w:right="283" w:firstLine="709"/>
        <w:jc w:val="right"/>
        <w:rPr>
          <w:rFonts w:ascii="Times New Roman" w:hAnsi="Times New Roman"/>
          <w:i/>
          <w:sz w:val="24"/>
          <w:szCs w:val="24"/>
          <w:lang w:val="uz-Cyrl-UZ"/>
        </w:rPr>
      </w:pPr>
    </w:p>
    <w:p w:rsidR="00287639" w:rsidRDefault="00287639" w:rsidP="00287639">
      <w:pPr>
        <w:spacing w:before="60" w:after="0" w:line="264" w:lineRule="auto"/>
        <w:ind w:right="283" w:firstLine="709"/>
        <w:jc w:val="right"/>
        <w:rPr>
          <w:rFonts w:ascii="Times New Roman" w:hAnsi="Times New Roman"/>
          <w:i/>
          <w:sz w:val="24"/>
          <w:szCs w:val="24"/>
          <w:lang w:val="uz-Cyrl-UZ"/>
        </w:rPr>
      </w:pPr>
      <w:r>
        <w:rPr>
          <w:rFonts w:ascii="Times New Roman" w:hAnsi="Times New Roman"/>
          <w:i/>
          <w:sz w:val="24"/>
          <w:szCs w:val="24"/>
          <w:lang w:val="uz-Cyrl-UZ"/>
        </w:rPr>
        <w:t>(10-рисунок)</w:t>
      </w:r>
    </w:p>
    <w:p w:rsidR="00287639" w:rsidRDefault="004A4E10" w:rsidP="00287639">
      <w:pPr>
        <w:jc w:val="center"/>
        <w:rPr>
          <w:rFonts w:ascii="Times New Roman" w:hAnsi="Times New Roman"/>
          <w:color w:val="000000"/>
          <w:sz w:val="28"/>
          <w:szCs w:val="28"/>
          <w:lang w:val="uz-Cyrl-UZ"/>
        </w:rPr>
      </w:pPr>
      <w:r w:rsidRPr="004A4E10">
        <w:pict>
          <v:shape id="_x0000_s1095" type="#_x0000_t202" style="position:absolute;left:0;text-align:left;margin-left:89pt;margin-top:224.6pt;width:66.35pt;height:20.75pt;z-index:251663872;mso-width-relative:margin;mso-height-relative:margin" stroked="f">
            <v:textbox>
              <w:txbxContent>
                <w:p w:rsidR="00287639" w:rsidRDefault="00287639" w:rsidP="00287639">
                  <w:pPr>
                    <w:rPr>
                      <w:lang w:val="uz-Cyrl-UZ"/>
                    </w:rPr>
                  </w:pPr>
                  <w:r>
                    <w:rPr>
                      <w:lang w:val="uz-Cyrl-UZ"/>
                    </w:rPr>
                    <w:t>01.04.2017</w:t>
                  </w:r>
                </w:p>
              </w:txbxContent>
            </v:textbox>
          </v:shape>
        </w:pict>
      </w:r>
      <w:r w:rsidRPr="004A4E10">
        <w:pict>
          <v:shape id="_x0000_s1097" type="#_x0000_t202" style="position:absolute;left:0;text-align:left;margin-left:261.65pt;margin-top:224.6pt;width:67.85pt;height:20.75pt;z-index:251664896;mso-width-relative:margin;mso-height-relative:margin" stroked="f">
            <v:textbox>
              <w:txbxContent>
                <w:p w:rsidR="00287639" w:rsidRDefault="00287639" w:rsidP="00287639">
                  <w:pPr>
                    <w:rPr>
                      <w:lang w:val="uz-Cyrl-UZ"/>
                    </w:rPr>
                  </w:pPr>
                  <w:r>
                    <w:rPr>
                      <w:lang w:val="uz-Cyrl-UZ"/>
                    </w:rPr>
                    <w:t>01.04.2019</w:t>
                  </w:r>
                </w:p>
              </w:txbxContent>
            </v:textbox>
          </v:shape>
        </w:pict>
      </w:r>
      <w:r w:rsidRPr="004A4E10">
        <w:pict>
          <v:shape id="_x0000_s1096" type="#_x0000_t202" style="position:absolute;left:0;text-align:left;margin-left:173.15pt;margin-top:224.6pt;width:67.85pt;height:20.75pt;z-index:251665920;mso-width-relative:margin;mso-height-relative:margin" stroked="f">
            <v:textbox style="mso-next-textbox:#_x0000_s1096">
              <w:txbxContent>
                <w:p w:rsidR="00287639" w:rsidRDefault="00287639" w:rsidP="00287639">
                  <w:pPr>
                    <w:rPr>
                      <w:lang w:val="uz-Cyrl-UZ"/>
                    </w:rPr>
                  </w:pPr>
                  <w:r>
                    <w:rPr>
                      <w:lang w:val="uz-Cyrl-UZ"/>
                    </w:rPr>
                    <w:t>01.04.2018</w:t>
                  </w:r>
                </w:p>
              </w:txbxContent>
            </v:textbox>
          </v:shape>
        </w:pict>
      </w:r>
      <w:r w:rsidR="00287639">
        <w:rPr>
          <w:noProof/>
          <w:color w:val="000000"/>
          <w:lang w:eastAsia="ru-RU"/>
        </w:rPr>
        <w:drawing>
          <wp:inline distT="0" distB="0" distL="0" distR="0">
            <wp:extent cx="5494655" cy="3235960"/>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7639" w:rsidRDefault="00287639" w:rsidP="00287639">
      <w:pPr>
        <w:spacing w:before="60" w:after="0" w:line="264" w:lineRule="auto"/>
        <w:ind w:right="283" w:firstLine="709"/>
        <w:jc w:val="right"/>
        <w:rPr>
          <w:rFonts w:ascii="Times New Roman" w:hAnsi="Times New Roman"/>
          <w:i/>
          <w:sz w:val="24"/>
          <w:szCs w:val="24"/>
          <w:lang w:val="uz-Cyrl-UZ"/>
        </w:rPr>
      </w:pPr>
      <w:r>
        <w:rPr>
          <w:rFonts w:ascii="Times New Roman" w:hAnsi="Times New Roman"/>
          <w:i/>
          <w:sz w:val="24"/>
          <w:szCs w:val="24"/>
          <w:lang w:val="uz-Cyrl-UZ"/>
        </w:rPr>
        <w:t>(11-рисунок)</w:t>
      </w:r>
    </w:p>
    <w:p w:rsidR="00287639" w:rsidRDefault="004A4E10" w:rsidP="00287639">
      <w:pPr>
        <w:jc w:val="center"/>
        <w:rPr>
          <w:rFonts w:ascii="Times New Roman" w:hAnsi="Times New Roman"/>
          <w:color w:val="000000"/>
          <w:sz w:val="28"/>
          <w:szCs w:val="28"/>
          <w:lang w:val="uz-Cyrl-UZ"/>
        </w:rPr>
      </w:pPr>
      <w:r w:rsidRPr="004A4E10">
        <w:pict>
          <v:shape id="_x0000_s1100" type="#_x0000_t202" style="position:absolute;left:0;text-align:left;margin-left:270.4pt;margin-top:267.15pt;width:67.85pt;height:20.75pt;z-index:251666944;mso-width-relative:margin;mso-height-relative:margin" stroked="f">
            <v:textbox style="mso-next-textbox:#_x0000_s1100">
              <w:txbxContent>
                <w:p w:rsidR="00287639" w:rsidRDefault="00287639" w:rsidP="00287639">
                  <w:pPr>
                    <w:rPr>
                      <w:lang w:val="uz-Cyrl-UZ"/>
                    </w:rPr>
                  </w:pPr>
                  <w:r>
                    <w:rPr>
                      <w:lang w:val="uz-Cyrl-UZ"/>
                    </w:rPr>
                    <w:t>01.04.2019</w:t>
                  </w:r>
                </w:p>
              </w:txbxContent>
            </v:textbox>
          </v:shape>
        </w:pict>
      </w:r>
      <w:r w:rsidRPr="004A4E10">
        <w:pict>
          <v:shape id="_x0000_s1099" type="#_x0000_t202" style="position:absolute;left:0;text-align:left;margin-left:181.7pt;margin-top:267.15pt;width:67.85pt;height:20.75pt;z-index:251667968;mso-width-relative:margin;mso-height-relative:margin" stroked="f">
            <v:textbox style="mso-next-textbox:#_x0000_s1099">
              <w:txbxContent>
                <w:p w:rsidR="00287639" w:rsidRDefault="00287639" w:rsidP="00287639">
                  <w:pPr>
                    <w:rPr>
                      <w:lang w:val="uz-Cyrl-UZ"/>
                    </w:rPr>
                  </w:pPr>
                  <w:r>
                    <w:rPr>
                      <w:lang w:val="uz-Cyrl-UZ"/>
                    </w:rPr>
                    <w:t>01.04.2018</w:t>
                  </w:r>
                </w:p>
              </w:txbxContent>
            </v:textbox>
          </v:shape>
        </w:pict>
      </w:r>
      <w:r w:rsidRPr="004A4E10">
        <w:pict>
          <v:shape id="_x0000_s1098" type="#_x0000_t202" style="position:absolute;left:0;text-align:left;margin-left:94.5pt;margin-top:267.15pt;width:67.85pt;height:20.75pt;z-index:251668992;mso-width-relative:margin;mso-height-relative:margin" stroked="f">
            <v:textbox style="mso-next-textbox:#_x0000_s1098">
              <w:txbxContent>
                <w:p w:rsidR="00287639" w:rsidRDefault="00287639" w:rsidP="00287639">
                  <w:pPr>
                    <w:rPr>
                      <w:lang w:val="uz-Cyrl-UZ"/>
                    </w:rPr>
                  </w:pPr>
                  <w:r>
                    <w:rPr>
                      <w:lang w:val="uz-Cyrl-UZ"/>
                    </w:rPr>
                    <w:t>01.04.2017</w:t>
                  </w:r>
                </w:p>
              </w:txbxContent>
            </v:textbox>
          </v:shape>
        </w:pict>
      </w:r>
      <w:r w:rsidR="00287639">
        <w:rPr>
          <w:noProof/>
          <w:color w:val="000000"/>
          <w:lang w:eastAsia="ru-RU"/>
        </w:rPr>
        <w:drawing>
          <wp:inline distT="0" distB="0" distL="0" distR="0">
            <wp:extent cx="5494655" cy="3768725"/>
            <wp:effectExtent l="0" t="0" r="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7639" w:rsidRDefault="00287639" w:rsidP="000F1B75">
      <w:pPr>
        <w:spacing w:before="40" w:after="0" w:line="288" w:lineRule="auto"/>
        <w:ind w:firstLine="720"/>
        <w:jc w:val="both"/>
        <w:rPr>
          <w:rFonts w:ascii="Times New Roman" w:hAnsi="Times New Roman"/>
          <w:sz w:val="28"/>
          <w:szCs w:val="28"/>
        </w:rPr>
      </w:pPr>
      <w:r>
        <w:rPr>
          <w:rFonts w:ascii="Times New Roman" w:hAnsi="Times New Roman"/>
          <w:sz w:val="28"/>
          <w:szCs w:val="28"/>
          <w:lang w:val="uz-Cyrl-UZ"/>
        </w:rPr>
        <w:t>Как показывает анализ</w:t>
      </w:r>
      <w:r>
        <w:rPr>
          <w:rFonts w:ascii="Times New Roman" w:hAnsi="Times New Roman"/>
          <w:sz w:val="28"/>
          <w:szCs w:val="28"/>
        </w:rPr>
        <w:t>, если сумма транзакций осуществленны</w:t>
      </w:r>
      <w:r>
        <w:rPr>
          <w:rFonts w:ascii="Times New Roman" w:hAnsi="Times New Roman"/>
          <w:sz w:val="28"/>
          <w:szCs w:val="28"/>
          <w:lang w:val="uz-Cyrl-UZ"/>
        </w:rPr>
        <w:t>х</w:t>
      </w:r>
      <w:r>
        <w:rPr>
          <w:rFonts w:ascii="Times New Roman" w:hAnsi="Times New Roman"/>
          <w:sz w:val="28"/>
          <w:szCs w:val="28"/>
        </w:rPr>
        <w:t xml:space="preserve"> через торговые терминалы в национальной валюте в течение 1-го квартала 2017</w:t>
      </w:r>
      <w:r>
        <w:rPr>
          <w:rFonts w:ascii="Times New Roman" w:hAnsi="Times New Roman"/>
          <w:sz w:val="28"/>
          <w:szCs w:val="28"/>
          <w:lang w:val="en-US"/>
        </w:rPr>
        <w:t> </w:t>
      </w:r>
      <w:r>
        <w:rPr>
          <w:rFonts w:ascii="Times New Roman" w:hAnsi="Times New Roman"/>
          <w:sz w:val="28"/>
          <w:szCs w:val="28"/>
        </w:rPr>
        <w:t>года составил</w:t>
      </w:r>
      <w:r>
        <w:rPr>
          <w:rFonts w:ascii="Times New Roman" w:hAnsi="Times New Roman"/>
          <w:sz w:val="28"/>
          <w:szCs w:val="28"/>
          <w:lang w:val="uz-Cyrl-UZ"/>
        </w:rPr>
        <w:t>а</w:t>
      </w:r>
      <w:r>
        <w:rPr>
          <w:rFonts w:ascii="Times New Roman" w:hAnsi="Times New Roman"/>
          <w:sz w:val="28"/>
          <w:szCs w:val="28"/>
        </w:rPr>
        <w:t xml:space="preserve"> 15 123 млрд. сумов, </w:t>
      </w:r>
      <w:r>
        <w:rPr>
          <w:rFonts w:ascii="Times New Roman" w:hAnsi="Times New Roman"/>
          <w:sz w:val="28"/>
          <w:szCs w:val="28"/>
          <w:lang w:val="uz-Cyrl-UZ"/>
        </w:rPr>
        <w:t>то в</w:t>
      </w:r>
      <w:r>
        <w:rPr>
          <w:rFonts w:ascii="Times New Roman" w:hAnsi="Times New Roman"/>
          <w:sz w:val="28"/>
          <w:szCs w:val="28"/>
        </w:rPr>
        <w:t xml:space="preserve"> первом квартале 2018 года составил</w:t>
      </w:r>
      <w:r>
        <w:rPr>
          <w:rFonts w:ascii="Times New Roman" w:hAnsi="Times New Roman"/>
          <w:sz w:val="28"/>
          <w:szCs w:val="28"/>
          <w:lang w:val="uz-Cyrl-UZ"/>
        </w:rPr>
        <w:t>а</w:t>
      </w:r>
      <w:r>
        <w:rPr>
          <w:rFonts w:ascii="Times New Roman" w:hAnsi="Times New Roman"/>
          <w:sz w:val="28"/>
          <w:szCs w:val="28"/>
        </w:rPr>
        <w:t xml:space="preserve"> 12 724 млрд. сумов. Этот показатель </w:t>
      </w:r>
      <w:r>
        <w:rPr>
          <w:rFonts w:ascii="Times New Roman" w:hAnsi="Times New Roman"/>
          <w:sz w:val="28"/>
          <w:szCs w:val="28"/>
          <w:lang w:val="uz-Cyrl-UZ"/>
        </w:rPr>
        <w:t>в</w:t>
      </w:r>
      <w:r>
        <w:rPr>
          <w:rFonts w:ascii="Times New Roman" w:hAnsi="Times New Roman"/>
          <w:sz w:val="28"/>
          <w:szCs w:val="28"/>
        </w:rPr>
        <w:t xml:space="preserve"> первом квартале 2019 года </w:t>
      </w:r>
      <w:r>
        <w:rPr>
          <w:rFonts w:ascii="Times New Roman" w:hAnsi="Times New Roman"/>
          <w:sz w:val="28"/>
          <w:szCs w:val="28"/>
        </w:rPr>
        <w:lastRenderedPageBreak/>
        <w:t>достиг 15 276 млрд. сумов, а среднемесячная сумма транзакций составил</w:t>
      </w:r>
      <w:r>
        <w:rPr>
          <w:rFonts w:ascii="Times New Roman" w:hAnsi="Times New Roman"/>
          <w:sz w:val="28"/>
          <w:szCs w:val="28"/>
          <w:lang w:val="uz-Cyrl-UZ"/>
        </w:rPr>
        <w:t>а</w:t>
      </w:r>
      <w:r>
        <w:rPr>
          <w:rFonts w:ascii="Times New Roman" w:hAnsi="Times New Roman"/>
          <w:sz w:val="28"/>
          <w:szCs w:val="28"/>
        </w:rPr>
        <w:t xml:space="preserve"> 5 091,9 млрд. сумов </w:t>
      </w:r>
      <w:r>
        <w:rPr>
          <w:rFonts w:ascii="Times New Roman" w:hAnsi="Times New Roman"/>
          <w:i/>
          <w:sz w:val="28"/>
          <w:szCs w:val="28"/>
        </w:rPr>
        <w:t>(11-й рисунок)</w:t>
      </w:r>
      <w:r>
        <w:rPr>
          <w:rFonts w:ascii="Times New Roman" w:hAnsi="Times New Roman"/>
          <w:sz w:val="28"/>
          <w:szCs w:val="28"/>
        </w:rPr>
        <w:t xml:space="preserve">. </w:t>
      </w:r>
    </w:p>
    <w:p w:rsidR="00287639" w:rsidRDefault="00287639" w:rsidP="000F1B75">
      <w:pPr>
        <w:spacing w:before="60" w:after="0" w:line="288" w:lineRule="auto"/>
        <w:ind w:firstLine="720"/>
        <w:jc w:val="both"/>
        <w:rPr>
          <w:rFonts w:ascii="Times New Roman" w:hAnsi="Times New Roman"/>
          <w:sz w:val="28"/>
          <w:szCs w:val="28"/>
        </w:rPr>
      </w:pPr>
      <w:r>
        <w:rPr>
          <w:rFonts w:ascii="Times New Roman" w:hAnsi="Times New Roman"/>
          <w:sz w:val="28"/>
          <w:szCs w:val="28"/>
        </w:rPr>
        <w:t>Согласно Постановлению Президента Республики Узбекистан</w:t>
      </w:r>
      <w:r w:rsidR="000F1B75">
        <w:rPr>
          <w:rFonts w:ascii="Times New Roman" w:hAnsi="Times New Roman"/>
          <w:sz w:val="28"/>
          <w:szCs w:val="28"/>
        </w:rPr>
        <w:br/>
      </w:r>
      <w:r>
        <w:rPr>
          <w:rFonts w:ascii="Times New Roman" w:hAnsi="Times New Roman"/>
          <w:sz w:val="28"/>
          <w:szCs w:val="28"/>
        </w:rPr>
        <w:t>от 19 сентября 2018 года №ПП</w:t>
      </w:r>
      <w:r w:rsidR="000F1B75">
        <w:rPr>
          <w:rFonts w:ascii="Times New Roman" w:hAnsi="Times New Roman"/>
          <w:sz w:val="28"/>
          <w:szCs w:val="28"/>
        </w:rPr>
        <w:t>–</w:t>
      </w:r>
      <w:r>
        <w:rPr>
          <w:rFonts w:ascii="Times New Roman" w:hAnsi="Times New Roman"/>
          <w:sz w:val="28"/>
          <w:szCs w:val="28"/>
        </w:rPr>
        <w:t xml:space="preserve">3945 «О мерах по развитию национальной платежной системы» организована деятельность </w:t>
      </w:r>
      <w:r>
        <w:rPr>
          <w:rFonts w:ascii="Times New Roman" w:eastAsiaTheme="minorHAnsi" w:hAnsi="Times New Roman"/>
          <w:noProof/>
          <w:sz w:val="28"/>
          <w:szCs w:val="28"/>
        </w:rPr>
        <w:t>Национального межбанковского процессингового центра государственного унитарного предприятия «Главный центр информатизации Центрального банка Республики Узбекистан».</w:t>
      </w:r>
    </w:p>
    <w:p w:rsidR="00287639" w:rsidRDefault="00287639" w:rsidP="000F1B75">
      <w:pPr>
        <w:autoSpaceDE w:val="0"/>
        <w:autoSpaceDN w:val="0"/>
        <w:adjustRightInd w:val="0"/>
        <w:spacing w:before="60" w:after="0" w:line="288" w:lineRule="auto"/>
        <w:ind w:firstLine="720"/>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Успешное налаживание работы Национального межбанковского процессингового центра служит созданию конкуренции между розничными платежными системами, которые оказывают платежные услуги основанные на банковских картах, удешевлению комиссионных плат со стороны пользователей платежных услуг, увеличению масштабов безналичных расчетов на основе передовых технологий, дальнейшему расширению инфраструктуры платежных систем основанные на банковских картах.</w:t>
      </w:r>
    </w:p>
    <w:p w:rsidR="00287639" w:rsidRDefault="00287639" w:rsidP="000F1B75">
      <w:pPr>
        <w:spacing w:before="60" w:after="0" w:line="288" w:lineRule="auto"/>
        <w:ind w:firstLine="720"/>
        <w:jc w:val="both"/>
        <w:rPr>
          <w:rFonts w:ascii="Times New Roman" w:hAnsi="Times New Roman"/>
          <w:sz w:val="28"/>
          <w:szCs w:val="28"/>
        </w:rPr>
      </w:pPr>
      <w:r>
        <w:rPr>
          <w:rFonts w:ascii="Times New Roman" w:hAnsi="Times New Roman"/>
          <w:sz w:val="28"/>
          <w:szCs w:val="28"/>
          <w:lang w:val="uz-Cyrl-UZ"/>
        </w:rPr>
        <w:t xml:space="preserve">Необходимо отметить, что </w:t>
      </w:r>
      <w:r>
        <w:rPr>
          <w:rFonts w:ascii="Times New Roman" w:hAnsi="Times New Roman"/>
          <w:sz w:val="28"/>
          <w:szCs w:val="28"/>
        </w:rPr>
        <w:t>закупаемые в рамках проекта платежные устройства – терминалы, банкоматы и платёжные карты поставляются компаниями, являющимися мировыми лидерами в своей отрасли. Вся создаваемая платёжная инфраструктура поддерживает бесконтактные платежи (</w:t>
      </w:r>
      <w:r>
        <w:rPr>
          <w:rFonts w:ascii="Times New Roman" w:hAnsi="Times New Roman"/>
          <w:sz w:val="28"/>
          <w:szCs w:val="28"/>
          <w:lang w:val="en-US"/>
        </w:rPr>
        <w:t>NFC</w:t>
      </w:r>
      <w:r>
        <w:rPr>
          <w:rFonts w:ascii="Times New Roman" w:hAnsi="Times New Roman"/>
          <w:sz w:val="28"/>
          <w:szCs w:val="28"/>
        </w:rPr>
        <w:t xml:space="preserve"> – </w:t>
      </w:r>
      <w:r>
        <w:rPr>
          <w:rFonts w:ascii="Times New Roman" w:hAnsi="Times New Roman"/>
          <w:sz w:val="28"/>
          <w:szCs w:val="28"/>
          <w:lang w:val="en-US"/>
        </w:rPr>
        <w:t>Near</w:t>
      </w:r>
      <w:r w:rsidRPr="00287639">
        <w:rPr>
          <w:rFonts w:ascii="Times New Roman" w:hAnsi="Times New Roman"/>
          <w:sz w:val="28"/>
          <w:szCs w:val="28"/>
        </w:rPr>
        <w:t xml:space="preserve"> </w:t>
      </w:r>
      <w:r>
        <w:rPr>
          <w:rFonts w:ascii="Times New Roman" w:hAnsi="Times New Roman"/>
          <w:sz w:val="28"/>
          <w:szCs w:val="28"/>
          <w:lang w:val="en-US"/>
        </w:rPr>
        <w:t>Field</w:t>
      </w:r>
      <w:r w:rsidRPr="00287639">
        <w:rPr>
          <w:rFonts w:ascii="Times New Roman" w:hAnsi="Times New Roman"/>
          <w:sz w:val="28"/>
          <w:szCs w:val="28"/>
        </w:rPr>
        <w:t xml:space="preserve"> </w:t>
      </w:r>
      <w:r>
        <w:rPr>
          <w:rFonts w:ascii="Times New Roman" w:hAnsi="Times New Roman"/>
          <w:sz w:val="28"/>
          <w:szCs w:val="28"/>
          <w:lang w:val="en-US"/>
        </w:rPr>
        <w:t>Communication</w:t>
      </w:r>
      <w:r>
        <w:rPr>
          <w:rFonts w:ascii="Times New Roman" w:hAnsi="Times New Roman"/>
          <w:sz w:val="28"/>
          <w:szCs w:val="28"/>
        </w:rPr>
        <w:t>), что отвечает международным стандартам и современным требованиям.</w:t>
      </w:r>
    </w:p>
    <w:p w:rsidR="00287639" w:rsidRDefault="00287639" w:rsidP="000F1B75">
      <w:pPr>
        <w:autoSpaceDE w:val="0"/>
        <w:autoSpaceDN w:val="0"/>
        <w:adjustRightInd w:val="0"/>
        <w:spacing w:before="60" w:after="0" w:line="288" w:lineRule="auto"/>
        <w:ind w:firstLine="720"/>
        <w:jc w:val="both"/>
        <w:rPr>
          <w:rFonts w:ascii="Times New Roman" w:hAnsi="Times New Roman"/>
          <w:noProof/>
          <w:sz w:val="28"/>
          <w:szCs w:val="28"/>
          <w:lang w:eastAsia="ru-RU"/>
        </w:rPr>
      </w:pPr>
      <w:r>
        <w:rPr>
          <w:rFonts w:ascii="Times New Roman" w:hAnsi="Times New Roman"/>
          <w:noProof/>
          <w:sz w:val="28"/>
          <w:szCs w:val="28"/>
          <w:lang w:eastAsia="ru-RU"/>
        </w:rPr>
        <w:t>Коммерческим банкам выделены банковские пластиковые карты национальной платежной системы «</w:t>
      </w:r>
      <w:r>
        <w:rPr>
          <w:rFonts w:ascii="Times New Roman" w:hAnsi="Times New Roman"/>
          <w:noProof/>
          <w:sz w:val="28"/>
          <w:szCs w:val="28"/>
          <w:lang w:val="en-US" w:eastAsia="ru-RU"/>
        </w:rPr>
        <w:t>HUMO</w:t>
      </w:r>
      <w:r>
        <w:rPr>
          <w:rFonts w:ascii="Times New Roman" w:hAnsi="Times New Roman"/>
          <w:noProof/>
          <w:sz w:val="28"/>
          <w:szCs w:val="28"/>
          <w:lang w:eastAsia="ru-RU"/>
        </w:rPr>
        <w:t>», а также платежные терминалы</w:t>
      </w:r>
      <w:r w:rsidR="000F1B75">
        <w:rPr>
          <w:rFonts w:ascii="Times New Roman" w:hAnsi="Times New Roman"/>
          <w:noProof/>
          <w:sz w:val="28"/>
          <w:szCs w:val="28"/>
          <w:lang w:eastAsia="ru-RU"/>
        </w:rPr>
        <w:br/>
      </w:r>
      <w:r>
        <w:rPr>
          <w:rFonts w:ascii="Times New Roman" w:hAnsi="Times New Roman"/>
          <w:noProof/>
          <w:sz w:val="28"/>
          <w:szCs w:val="28"/>
          <w:lang w:eastAsia="ru-RU"/>
        </w:rPr>
        <w:t>с целью установления в пунктах торговли и оказания услуг, в том числе</w:t>
      </w:r>
      <w:r w:rsidR="000F1B75">
        <w:rPr>
          <w:rFonts w:ascii="Times New Roman" w:hAnsi="Times New Roman"/>
          <w:noProof/>
          <w:sz w:val="28"/>
          <w:szCs w:val="28"/>
          <w:lang w:eastAsia="ru-RU"/>
        </w:rPr>
        <w:br/>
      </w:r>
      <w:r>
        <w:rPr>
          <w:rFonts w:ascii="Times New Roman" w:hAnsi="Times New Roman"/>
          <w:noProof/>
          <w:sz w:val="28"/>
          <w:szCs w:val="28"/>
          <w:lang w:eastAsia="ru-RU"/>
        </w:rPr>
        <w:t>в гостиницах, супермаркетах, пунктах общественного питания, аптеках.</w:t>
      </w:r>
    </w:p>
    <w:p w:rsidR="00287639" w:rsidRDefault="00287639" w:rsidP="000F1B75">
      <w:pPr>
        <w:spacing w:before="60" w:after="0" w:line="288" w:lineRule="auto"/>
        <w:ind w:firstLine="720"/>
        <w:jc w:val="both"/>
        <w:rPr>
          <w:rFonts w:ascii="Times New Roman" w:hAnsi="Times New Roman"/>
          <w:sz w:val="28"/>
          <w:szCs w:val="28"/>
        </w:rPr>
      </w:pPr>
      <w:r>
        <w:rPr>
          <w:rFonts w:ascii="Times New Roman" w:hAnsi="Times New Roman"/>
          <w:sz w:val="28"/>
          <w:szCs w:val="28"/>
        </w:rPr>
        <w:t>В свою очередь, начиная с мая месяца текущего года запланирован массовая эмиссия банковских карт платежной системы «</w:t>
      </w:r>
      <w:r>
        <w:rPr>
          <w:rFonts w:ascii="Times New Roman" w:hAnsi="Times New Roman"/>
          <w:noProof/>
          <w:color w:val="000000"/>
          <w:sz w:val="28"/>
          <w:szCs w:val="28"/>
          <w:lang w:val="uz-Cyrl-UZ" w:eastAsia="ru-RU"/>
        </w:rPr>
        <w:t>HUMO</w:t>
      </w:r>
      <w:r>
        <w:rPr>
          <w:rFonts w:ascii="Times New Roman" w:hAnsi="Times New Roman"/>
          <w:sz w:val="28"/>
          <w:szCs w:val="28"/>
        </w:rPr>
        <w:t>» по городу Ташкенту. Эмиссия карт в остальных регионах будет осуществлена поэтапно, по мере обеспечения региона платёжной инфраструктурой.</w:t>
      </w:r>
    </w:p>
    <w:p w:rsidR="00544CB5" w:rsidRPr="00287639" w:rsidRDefault="00287639" w:rsidP="000F1B75">
      <w:pPr>
        <w:spacing w:before="60" w:after="0" w:line="288" w:lineRule="auto"/>
        <w:ind w:firstLine="720"/>
        <w:jc w:val="both"/>
        <w:rPr>
          <w:szCs w:val="28"/>
        </w:rPr>
      </w:pPr>
      <w:r>
        <w:rPr>
          <w:rFonts w:ascii="Times New Roman" w:hAnsi="Times New Roman"/>
          <w:sz w:val="28"/>
          <w:szCs w:val="28"/>
        </w:rPr>
        <w:t>С целью своевременного и полноценного исполнения задач возложенных руководством страны, осуществляются меры по ускоренному расширению инфраструктуры платежной системы «HUMO».</w:t>
      </w:r>
    </w:p>
    <w:sectPr w:rsidR="00544CB5" w:rsidRPr="00287639" w:rsidSect="000F1B75">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7E" w:rsidRDefault="00E0177E" w:rsidP="000F1B75">
      <w:pPr>
        <w:spacing w:after="0" w:line="240" w:lineRule="auto"/>
      </w:pPr>
      <w:r>
        <w:separator/>
      </w:r>
    </w:p>
  </w:endnote>
  <w:endnote w:type="continuationSeparator" w:id="1">
    <w:p w:rsidR="00E0177E" w:rsidRDefault="00E0177E" w:rsidP="000F1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NDA Times UZ">
    <w:altName w:val="Microsoft YaHei"/>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ANDA Baltic UZ">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90172"/>
      <w:docPartObj>
        <w:docPartGallery w:val="Page Numbers (Bottom of Page)"/>
        <w:docPartUnique/>
      </w:docPartObj>
    </w:sdtPr>
    <w:sdtContent>
      <w:p w:rsidR="000F1B75" w:rsidRDefault="004A4E10">
        <w:pPr>
          <w:pStyle w:val="a8"/>
        </w:pPr>
        <w:r>
          <w:rPr>
            <w:noProof/>
            <w:lang w:eastAsia="zh-TW"/>
          </w:rPr>
          <w:pict>
            <v:group id="_x0000_s33793"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33794" type="#_x0000_t202" style="position:absolute;left:10803;top:14982;width:659;height:288" filled="f" stroked="f">
                <v:textbox style="mso-next-textbox:#_x0000_s33794" inset="0,0,0,0">
                  <w:txbxContent>
                    <w:p w:rsidR="000F1B75" w:rsidRPr="000F1B75" w:rsidRDefault="004A4E10">
                      <w:pPr>
                        <w:jc w:val="center"/>
                        <w:rPr>
                          <w:rFonts w:ascii="Times New Roman" w:hAnsi="Times New Roman"/>
                          <w:sz w:val="24"/>
                          <w:szCs w:val="24"/>
                        </w:rPr>
                      </w:pPr>
                      <w:r w:rsidRPr="000F1B75">
                        <w:rPr>
                          <w:rFonts w:ascii="Times New Roman" w:hAnsi="Times New Roman"/>
                          <w:sz w:val="24"/>
                          <w:szCs w:val="24"/>
                        </w:rPr>
                        <w:fldChar w:fldCharType="begin"/>
                      </w:r>
                      <w:r w:rsidR="000F1B75" w:rsidRPr="000F1B75">
                        <w:rPr>
                          <w:rFonts w:ascii="Times New Roman" w:hAnsi="Times New Roman"/>
                          <w:sz w:val="24"/>
                          <w:szCs w:val="24"/>
                        </w:rPr>
                        <w:instrText xml:space="preserve"> PAGE    \* MERGEFORMAT </w:instrText>
                      </w:r>
                      <w:r w:rsidRPr="000F1B75">
                        <w:rPr>
                          <w:rFonts w:ascii="Times New Roman" w:hAnsi="Times New Roman"/>
                          <w:sz w:val="24"/>
                          <w:szCs w:val="24"/>
                        </w:rPr>
                        <w:fldChar w:fldCharType="separate"/>
                      </w:r>
                      <w:r w:rsidR="00744191" w:rsidRPr="00744191">
                        <w:rPr>
                          <w:rFonts w:ascii="Times New Roman" w:hAnsi="Times New Roman"/>
                          <w:noProof/>
                          <w:color w:val="8C8C8C" w:themeColor="background1" w:themeShade="8C"/>
                          <w:sz w:val="24"/>
                          <w:szCs w:val="24"/>
                        </w:rPr>
                        <w:t>4</w:t>
                      </w:r>
                      <w:r w:rsidRPr="000F1B75">
                        <w:rPr>
                          <w:rFonts w:ascii="Times New Roman" w:hAnsi="Times New Roman"/>
                          <w:sz w:val="24"/>
                          <w:szCs w:val="24"/>
                        </w:rPr>
                        <w:fldChar w:fldCharType="end"/>
                      </w:r>
                    </w:p>
                  </w:txbxContent>
                </v:textbox>
              </v:shape>
              <v:group id="_x0000_s3379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796" type="#_x0000_t34" style="position:absolute;left:-8;top:14978;width:1260;height:230;flip:y" o:connectortype="elbow" adj=",1024457,257" strokecolor="#a5a5a5 [2092]"/>
                <v:shape id="_x0000_s33797"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7E" w:rsidRDefault="00E0177E" w:rsidP="000F1B75">
      <w:pPr>
        <w:spacing w:after="0" w:line="240" w:lineRule="auto"/>
      </w:pPr>
      <w:r>
        <w:separator/>
      </w:r>
    </w:p>
  </w:footnote>
  <w:footnote w:type="continuationSeparator" w:id="1">
    <w:p w:rsidR="00E0177E" w:rsidRDefault="00E0177E" w:rsidP="000F1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196D"/>
    <w:multiLevelType w:val="hybridMultilevel"/>
    <w:tmpl w:val="21D071C6"/>
    <w:lvl w:ilvl="0" w:tplc="7902CABC">
      <w:numFmt w:val="bullet"/>
      <w:lvlText w:val="-"/>
      <w:lvlJc w:val="left"/>
      <w:pPr>
        <w:ind w:left="1040" w:hanging="360"/>
      </w:pPr>
      <w:rPr>
        <w:rFonts w:ascii="Times New Roman" w:eastAsia="Calibri"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
    <w:nsid w:val="360B0488"/>
    <w:multiLevelType w:val="hybridMultilevel"/>
    <w:tmpl w:val="189A09CC"/>
    <w:lvl w:ilvl="0" w:tplc="A9C44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44770"/>
    <w:multiLevelType w:val="hybridMultilevel"/>
    <w:tmpl w:val="1E0E6154"/>
    <w:lvl w:ilvl="0" w:tplc="D8A6E5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36866"/>
    <o:shapelayout v:ext="edit">
      <o:idmap v:ext="edit" data="33"/>
      <o:rules v:ext="edit">
        <o:r id="V:Rule3" type="connector" idref="#_x0000_s33796"/>
        <o:r id="V:Rule4" type="connector" idref="#_x0000_s33797"/>
      </o:rules>
    </o:shapelayout>
  </w:hdrShapeDefaults>
  <w:footnotePr>
    <w:footnote w:id="0"/>
    <w:footnote w:id="1"/>
  </w:footnotePr>
  <w:endnotePr>
    <w:endnote w:id="0"/>
    <w:endnote w:id="1"/>
  </w:endnotePr>
  <w:compat/>
  <w:rsids>
    <w:rsidRoot w:val="00793D9D"/>
    <w:rsid w:val="00002800"/>
    <w:rsid w:val="0001237D"/>
    <w:rsid w:val="0001518F"/>
    <w:rsid w:val="000270B8"/>
    <w:rsid w:val="000308ED"/>
    <w:rsid w:val="00035F5C"/>
    <w:rsid w:val="00037A6B"/>
    <w:rsid w:val="00041254"/>
    <w:rsid w:val="00043BF1"/>
    <w:rsid w:val="00051CBF"/>
    <w:rsid w:val="00066262"/>
    <w:rsid w:val="00086611"/>
    <w:rsid w:val="00087027"/>
    <w:rsid w:val="00092176"/>
    <w:rsid w:val="000A2DB9"/>
    <w:rsid w:val="000A3DA8"/>
    <w:rsid w:val="000A3F32"/>
    <w:rsid w:val="000A6378"/>
    <w:rsid w:val="000B027E"/>
    <w:rsid w:val="000C7DBD"/>
    <w:rsid w:val="000D1CA6"/>
    <w:rsid w:val="000D1E5C"/>
    <w:rsid w:val="000E033F"/>
    <w:rsid w:val="000E1CE7"/>
    <w:rsid w:val="000E30DA"/>
    <w:rsid w:val="000E553F"/>
    <w:rsid w:val="000E5636"/>
    <w:rsid w:val="000F17D3"/>
    <w:rsid w:val="000F1B75"/>
    <w:rsid w:val="00104025"/>
    <w:rsid w:val="00104FA6"/>
    <w:rsid w:val="0010597A"/>
    <w:rsid w:val="00170B71"/>
    <w:rsid w:val="001755DF"/>
    <w:rsid w:val="0018253B"/>
    <w:rsid w:val="001874B8"/>
    <w:rsid w:val="00187BD8"/>
    <w:rsid w:val="001917BF"/>
    <w:rsid w:val="00196CAF"/>
    <w:rsid w:val="001A02CD"/>
    <w:rsid w:val="001B1FA4"/>
    <w:rsid w:val="001B640C"/>
    <w:rsid w:val="001D5755"/>
    <w:rsid w:val="001E39B8"/>
    <w:rsid w:val="001E4B65"/>
    <w:rsid w:val="001F10CE"/>
    <w:rsid w:val="001F6580"/>
    <w:rsid w:val="0020744A"/>
    <w:rsid w:val="00207F82"/>
    <w:rsid w:val="002108E7"/>
    <w:rsid w:val="0021285C"/>
    <w:rsid w:val="00222AA4"/>
    <w:rsid w:val="00223BBA"/>
    <w:rsid w:val="002257E7"/>
    <w:rsid w:val="002311CC"/>
    <w:rsid w:val="002402D0"/>
    <w:rsid w:val="00250E78"/>
    <w:rsid w:val="002550F7"/>
    <w:rsid w:val="00270D00"/>
    <w:rsid w:val="00272050"/>
    <w:rsid w:val="00280D82"/>
    <w:rsid w:val="0028329A"/>
    <w:rsid w:val="00283E85"/>
    <w:rsid w:val="00287639"/>
    <w:rsid w:val="00296AAB"/>
    <w:rsid w:val="002A1305"/>
    <w:rsid w:val="002A1ADD"/>
    <w:rsid w:val="002A224F"/>
    <w:rsid w:val="002B49CD"/>
    <w:rsid w:val="002B78D7"/>
    <w:rsid w:val="002C323F"/>
    <w:rsid w:val="002C3451"/>
    <w:rsid w:val="002C730C"/>
    <w:rsid w:val="002D30E9"/>
    <w:rsid w:val="002E1A16"/>
    <w:rsid w:val="002E46A7"/>
    <w:rsid w:val="00303862"/>
    <w:rsid w:val="00306AB2"/>
    <w:rsid w:val="003126B9"/>
    <w:rsid w:val="00316B45"/>
    <w:rsid w:val="003247EF"/>
    <w:rsid w:val="003257E8"/>
    <w:rsid w:val="003504E6"/>
    <w:rsid w:val="00360008"/>
    <w:rsid w:val="003601AB"/>
    <w:rsid w:val="003734B6"/>
    <w:rsid w:val="0038156C"/>
    <w:rsid w:val="00390395"/>
    <w:rsid w:val="00392DF7"/>
    <w:rsid w:val="0039601D"/>
    <w:rsid w:val="003966DF"/>
    <w:rsid w:val="003A3648"/>
    <w:rsid w:val="003B02B7"/>
    <w:rsid w:val="003B2D91"/>
    <w:rsid w:val="003C0209"/>
    <w:rsid w:val="003D1B0F"/>
    <w:rsid w:val="003E3F60"/>
    <w:rsid w:val="00401429"/>
    <w:rsid w:val="00401CD6"/>
    <w:rsid w:val="00406A52"/>
    <w:rsid w:val="004142D6"/>
    <w:rsid w:val="00414F95"/>
    <w:rsid w:val="00415AE4"/>
    <w:rsid w:val="00425B2E"/>
    <w:rsid w:val="00440734"/>
    <w:rsid w:val="0044224E"/>
    <w:rsid w:val="004433F8"/>
    <w:rsid w:val="00447ED9"/>
    <w:rsid w:val="004A4E10"/>
    <w:rsid w:val="004A695A"/>
    <w:rsid w:val="004A72BF"/>
    <w:rsid w:val="004B3090"/>
    <w:rsid w:val="004C222B"/>
    <w:rsid w:val="004C236D"/>
    <w:rsid w:val="004C2838"/>
    <w:rsid w:val="004C375A"/>
    <w:rsid w:val="004D1EB9"/>
    <w:rsid w:val="004D2161"/>
    <w:rsid w:val="004E1417"/>
    <w:rsid w:val="004E6585"/>
    <w:rsid w:val="004F358C"/>
    <w:rsid w:val="004F3B5B"/>
    <w:rsid w:val="004F6AF8"/>
    <w:rsid w:val="00501740"/>
    <w:rsid w:val="005047ED"/>
    <w:rsid w:val="00521C9A"/>
    <w:rsid w:val="00541F3C"/>
    <w:rsid w:val="005422C1"/>
    <w:rsid w:val="00544CB5"/>
    <w:rsid w:val="005547F7"/>
    <w:rsid w:val="005568ED"/>
    <w:rsid w:val="00560F41"/>
    <w:rsid w:val="005621BC"/>
    <w:rsid w:val="00562594"/>
    <w:rsid w:val="005633BE"/>
    <w:rsid w:val="005671BE"/>
    <w:rsid w:val="00581028"/>
    <w:rsid w:val="00587DA9"/>
    <w:rsid w:val="00590594"/>
    <w:rsid w:val="00591DE0"/>
    <w:rsid w:val="00596413"/>
    <w:rsid w:val="005A257B"/>
    <w:rsid w:val="005A2B66"/>
    <w:rsid w:val="005A56AF"/>
    <w:rsid w:val="005B13F6"/>
    <w:rsid w:val="005B1855"/>
    <w:rsid w:val="005C2879"/>
    <w:rsid w:val="005C62BB"/>
    <w:rsid w:val="005D1E0F"/>
    <w:rsid w:val="005D3434"/>
    <w:rsid w:val="005E3362"/>
    <w:rsid w:val="005F6CA9"/>
    <w:rsid w:val="00605914"/>
    <w:rsid w:val="006227BF"/>
    <w:rsid w:val="0062324F"/>
    <w:rsid w:val="00623E9C"/>
    <w:rsid w:val="00636F6E"/>
    <w:rsid w:val="006423AE"/>
    <w:rsid w:val="0065231E"/>
    <w:rsid w:val="00654411"/>
    <w:rsid w:val="00661D1E"/>
    <w:rsid w:val="0066733F"/>
    <w:rsid w:val="0067549C"/>
    <w:rsid w:val="0068574A"/>
    <w:rsid w:val="00696C7C"/>
    <w:rsid w:val="006A7F3B"/>
    <w:rsid w:val="006B0F1C"/>
    <w:rsid w:val="006B3BBD"/>
    <w:rsid w:val="006B4F1B"/>
    <w:rsid w:val="006C0EE6"/>
    <w:rsid w:val="006D0999"/>
    <w:rsid w:val="006E73F1"/>
    <w:rsid w:val="006F32C0"/>
    <w:rsid w:val="006F5E62"/>
    <w:rsid w:val="00707DCD"/>
    <w:rsid w:val="00720AAF"/>
    <w:rsid w:val="00721997"/>
    <w:rsid w:val="0073445A"/>
    <w:rsid w:val="00740BC6"/>
    <w:rsid w:val="00741666"/>
    <w:rsid w:val="00744191"/>
    <w:rsid w:val="00745561"/>
    <w:rsid w:val="00747797"/>
    <w:rsid w:val="0076404E"/>
    <w:rsid w:val="00765ED8"/>
    <w:rsid w:val="007717E5"/>
    <w:rsid w:val="007846E4"/>
    <w:rsid w:val="00790398"/>
    <w:rsid w:val="00793D9D"/>
    <w:rsid w:val="00794956"/>
    <w:rsid w:val="007D1FC6"/>
    <w:rsid w:val="007D4761"/>
    <w:rsid w:val="007E04DC"/>
    <w:rsid w:val="007E3273"/>
    <w:rsid w:val="008035E6"/>
    <w:rsid w:val="008163B0"/>
    <w:rsid w:val="0083440B"/>
    <w:rsid w:val="008363E9"/>
    <w:rsid w:val="00843510"/>
    <w:rsid w:val="0084398F"/>
    <w:rsid w:val="00844411"/>
    <w:rsid w:val="00844F34"/>
    <w:rsid w:val="00850C1D"/>
    <w:rsid w:val="008630D3"/>
    <w:rsid w:val="00864CCC"/>
    <w:rsid w:val="0086526C"/>
    <w:rsid w:val="00866288"/>
    <w:rsid w:val="00881814"/>
    <w:rsid w:val="00883B38"/>
    <w:rsid w:val="008946F8"/>
    <w:rsid w:val="0089640B"/>
    <w:rsid w:val="008970D5"/>
    <w:rsid w:val="00897B17"/>
    <w:rsid w:val="008A0E14"/>
    <w:rsid w:val="008C1E22"/>
    <w:rsid w:val="008C4E21"/>
    <w:rsid w:val="008D30E6"/>
    <w:rsid w:val="008E039E"/>
    <w:rsid w:val="00904B0C"/>
    <w:rsid w:val="0090585B"/>
    <w:rsid w:val="00924ABE"/>
    <w:rsid w:val="00927EED"/>
    <w:rsid w:val="00932379"/>
    <w:rsid w:val="00932399"/>
    <w:rsid w:val="00937C06"/>
    <w:rsid w:val="00937FA3"/>
    <w:rsid w:val="00955E6A"/>
    <w:rsid w:val="009638B1"/>
    <w:rsid w:val="00971748"/>
    <w:rsid w:val="009733E7"/>
    <w:rsid w:val="00974419"/>
    <w:rsid w:val="009845B6"/>
    <w:rsid w:val="00986F0C"/>
    <w:rsid w:val="00996FDB"/>
    <w:rsid w:val="009B7071"/>
    <w:rsid w:val="009E04EE"/>
    <w:rsid w:val="009E1EA6"/>
    <w:rsid w:val="009E67EA"/>
    <w:rsid w:val="009F5112"/>
    <w:rsid w:val="009F685C"/>
    <w:rsid w:val="00A02169"/>
    <w:rsid w:val="00A10713"/>
    <w:rsid w:val="00A1505F"/>
    <w:rsid w:val="00A2409E"/>
    <w:rsid w:val="00A25002"/>
    <w:rsid w:val="00A26BDB"/>
    <w:rsid w:val="00A33D86"/>
    <w:rsid w:val="00A36CB9"/>
    <w:rsid w:val="00A67924"/>
    <w:rsid w:val="00A7207F"/>
    <w:rsid w:val="00A72179"/>
    <w:rsid w:val="00A952DA"/>
    <w:rsid w:val="00A964BA"/>
    <w:rsid w:val="00A971C7"/>
    <w:rsid w:val="00AA0121"/>
    <w:rsid w:val="00AA1C37"/>
    <w:rsid w:val="00AA1F11"/>
    <w:rsid w:val="00AA2DD9"/>
    <w:rsid w:val="00AC2F95"/>
    <w:rsid w:val="00AC3CE3"/>
    <w:rsid w:val="00AC7290"/>
    <w:rsid w:val="00AD0A17"/>
    <w:rsid w:val="00AE1B81"/>
    <w:rsid w:val="00AE41C5"/>
    <w:rsid w:val="00AE56C2"/>
    <w:rsid w:val="00AE7DBC"/>
    <w:rsid w:val="00AF1D10"/>
    <w:rsid w:val="00AF5FFD"/>
    <w:rsid w:val="00AF68B8"/>
    <w:rsid w:val="00B04CFE"/>
    <w:rsid w:val="00B07108"/>
    <w:rsid w:val="00B1776B"/>
    <w:rsid w:val="00B20C3A"/>
    <w:rsid w:val="00B222FF"/>
    <w:rsid w:val="00B31C25"/>
    <w:rsid w:val="00B33B1B"/>
    <w:rsid w:val="00B41190"/>
    <w:rsid w:val="00B54BF4"/>
    <w:rsid w:val="00B55817"/>
    <w:rsid w:val="00B76236"/>
    <w:rsid w:val="00B852B4"/>
    <w:rsid w:val="00B8556A"/>
    <w:rsid w:val="00B8775E"/>
    <w:rsid w:val="00B921BA"/>
    <w:rsid w:val="00BA0CD6"/>
    <w:rsid w:val="00BA567F"/>
    <w:rsid w:val="00BA5AE7"/>
    <w:rsid w:val="00BB3C27"/>
    <w:rsid w:val="00BB47C7"/>
    <w:rsid w:val="00BD4D6F"/>
    <w:rsid w:val="00BE08BD"/>
    <w:rsid w:val="00BE18D5"/>
    <w:rsid w:val="00C05C31"/>
    <w:rsid w:val="00C11A95"/>
    <w:rsid w:val="00C225C9"/>
    <w:rsid w:val="00C347AF"/>
    <w:rsid w:val="00C34E9A"/>
    <w:rsid w:val="00C35D81"/>
    <w:rsid w:val="00C44B3D"/>
    <w:rsid w:val="00C508ED"/>
    <w:rsid w:val="00C558F1"/>
    <w:rsid w:val="00C61F57"/>
    <w:rsid w:val="00C75CE1"/>
    <w:rsid w:val="00C841A2"/>
    <w:rsid w:val="00C879FF"/>
    <w:rsid w:val="00C91274"/>
    <w:rsid w:val="00CA2FB5"/>
    <w:rsid w:val="00CA47AC"/>
    <w:rsid w:val="00CB5178"/>
    <w:rsid w:val="00CC3C32"/>
    <w:rsid w:val="00CC3D7A"/>
    <w:rsid w:val="00CD12AB"/>
    <w:rsid w:val="00CD4DAC"/>
    <w:rsid w:val="00CE1430"/>
    <w:rsid w:val="00CF23A9"/>
    <w:rsid w:val="00CF67B6"/>
    <w:rsid w:val="00D027BE"/>
    <w:rsid w:val="00D3136D"/>
    <w:rsid w:val="00D328C2"/>
    <w:rsid w:val="00D3727A"/>
    <w:rsid w:val="00D65EFE"/>
    <w:rsid w:val="00D726AB"/>
    <w:rsid w:val="00D76857"/>
    <w:rsid w:val="00D82FA0"/>
    <w:rsid w:val="00DA1A70"/>
    <w:rsid w:val="00DB0167"/>
    <w:rsid w:val="00DB1BDC"/>
    <w:rsid w:val="00DC14A8"/>
    <w:rsid w:val="00DC1AF8"/>
    <w:rsid w:val="00DD146E"/>
    <w:rsid w:val="00DD33AC"/>
    <w:rsid w:val="00DE3F3B"/>
    <w:rsid w:val="00DE5E4E"/>
    <w:rsid w:val="00DF0AB4"/>
    <w:rsid w:val="00DF79A5"/>
    <w:rsid w:val="00E0177E"/>
    <w:rsid w:val="00E131E9"/>
    <w:rsid w:val="00E13863"/>
    <w:rsid w:val="00E139FF"/>
    <w:rsid w:val="00E14AE7"/>
    <w:rsid w:val="00E16721"/>
    <w:rsid w:val="00E20106"/>
    <w:rsid w:val="00E21D71"/>
    <w:rsid w:val="00E258C9"/>
    <w:rsid w:val="00E25EF1"/>
    <w:rsid w:val="00E30E1B"/>
    <w:rsid w:val="00E35A42"/>
    <w:rsid w:val="00E374AB"/>
    <w:rsid w:val="00E40496"/>
    <w:rsid w:val="00E50AAB"/>
    <w:rsid w:val="00E51113"/>
    <w:rsid w:val="00E571BF"/>
    <w:rsid w:val="00E62EE7"/>
    <w:rsid w:val="00E64417"/>
    <w:rsid w:val="00E65B1F"/>
    <w:rsid w:val="00E760E0"/>
    <w:rsid w:val="00E93A92"/>
    <w:rsid w:val="00EA419E"/>
    <w:rsid w:val="00EA7E00"/>
    <w:rsid w:val="00EB05E8"/>
    <w:rsid w:val="00EC16E4"/>
    <w:rsid w:val="00EC50B7"/>
    <w:rsid w:val="00ED0301"/>
    <w:rsid w:val="00ED181E"/>
    <w:rsid w:val="00ED39A6"/>
    <w:rsid w:val="00ED7C7A"/>
    <w:rsid w:val="00EE08F1"/>
    <w:rsid w:val="00EE5334"/>
    <w:rsid w:val="00EF36DE"/>
    <w:rsid w:val="00F04E5C"/>
    <w:rsid w:val="00F107AB"/>
    <w:rsid w:val="00F201CE"/>
    <w:rsid w:val="00F26024"/>
    <w:rsid w:val="00F31391"/>
    <w:rsid w:val="00F342A4"/>
    <w:rsid w:val="00F353BD"/>
    <w:rsid w:val="00F46D93"/>
    <w:rsid w:val="00F55DBD"/>
    <w:rsid w:val="00F576A5"/>
    <w:rsid w:val="00F75BC9"/>
    <w:rsid w:val="00F925BF"/>
    <w:rsid w:val="00F93D9E"/>
    <w:rsid w:val="00FB3BBF"/>
    <w:rsid w:val="00FC2723"/>
    <w:rsid w:val="00FC4F6B"/>
    <w:rsid w:val="00FC59C7"/>
    <w:rsid w:val="00FD05E4"/>
    <w:rsid w:val="00FE0F6F"/>
    <w:rsid w:val="00FE76C3"/>
    <w:rsid w:val="00FE7C70"/>
    <w:rsid w:val="00FF2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9D"/>
    <w:rPr>
      <w:rFonts w:ascii="Calibri" w:eastAsia="Calibri" w:hAnsi="Calibri" w:cs="Times New Roman"/>
    </w:rPr>
  </w:style>
  <w:style w:type="paragraph" w:styleId="1">
    <w:name w:val="heading 1"/>
    <w:aliases w:val="Bob"/>
    <w:basedOn w:val="a"/>
    <w:next w:val="a"/>
    <w:link w:val="10"/>
    <w:qFormat/>
    <w:rsid w:val="00793D9D"/>
    <w:pPr>
      <w:keepNext/>
      <w:spacing w:after="0" w:line="240" w:lineRule="auto"/>
      <w:jc w:val="center"/>
      <w:outlineLvl w:val="0"/>
    </w:pPr>
    <w:rPr>
      <w:rFonts w:ascii="PANDA Times UZ" w:eastAsia="Times New Roman" w:hAnsi="PANDA Times UZ"/>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Bob Знак"/>
    <w:basedOn w:val="a0"/>
    <w:link w:val="1"/>
    <w:rsid w:val="00793D9D"/>
    <w:rPr>
      <w:rFonts w:ascii="PANDA Times UZ" w:eastAsia="Times New Roman" w:hAnsi="PANDA Times UZ" w:cs="Times New Roman"/>
      <w:b/>
      <w:sz w:val="28"/>
      <w:szCs w:val="20"/>
    </w:rPr>
  </w:style>
  <w:style w:type="paragraph" w:styleId="a3">
    <w:name w:val="Balloon Text"/>
    <w:basedOn w:val="a"/>
    <w:link w:val="a4"/>
    <w:uiPriority w:val="99"/>
    <w:semiHidden/>
    <w:unhideWhenUsed/>
    <w:rsid w:val="00793D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D9D"/>
    <w:rPr>
      <w:rFonts w:ascii="Tahoma" w:eastAsia="Calibri" w:hAnsi="Tahoma" w:cs="Tahoma"/>
      <w:sz w:val="16"/>
      <w:szCs w:val="16"/>
    </w:rPr>
  </w:style>
  <w:style w:type="paragraph" w:styleId="a5">
    <w:name w:val="List Paragraph"/>
    <w:basedOn w:val="a"/>
    <w:uiPriority w:val="34"/>
    <w:qFormat/>
    <w:rsid w:val="002550F7"/>
    <w:pPr>
      <w:ind w:left="720"/>
      <w:contextualSpacing/>
    </w:pPr>
  </w:style>
  <w:style w:type="paragraph" w:customStyle="1" w:styleId="BodyText211">
    <w:name w:val="Body Text 211"/>
    <w:basedOn w:val="a"/>
    <w:rsid w:val="00B04CFE"/>
    <w:pPr>
      <w:spacing w:after="0" w:line="240" w:lineRule="auto"/>
      <w:ind w:firstLine="709"/>
      <w:jc w:val="both"/>
    </w:pPr>
    <w:rPr>
      <w:rFonts w:ascii="PANDA Baltic UZ" w:hAnsi="PANDA Baltic UZ"/>
      <w:sz w:val="24"/>
      <w:szCs w:val="20"/>
      <w:lang w:eastAsia="ru-RU"/>
    </w:rPr>
  </w:style>
  <w:style w:type="paragraph" w:styleId="a6">
    <w:name w:val="header"/>
    <w:basedOn w:val="a"/>
    <w:link w:val="a7"/>
    <w:uiPriority w:val="99"/>
    <w:semiHidden/>
    <w:unhideWhenUsed/>
    <w:rsid w:val="000F1B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1B75"/>
    <w:rPr>
      <w:rFonts w:ascii="Calibri" w:eastAsia="Calibri" w:hAnsi="Calibri" w:cs="Times New Roman"/>
    </w:rPr>
  </w:style>
  <w:style w:type="paragraph" w:styleId="a8">
    <w:name w:val="footer"/>
    <w:basedOn w:val="a"/>
    <w:link w:val="a9"/>
    <w:uiPriority w:val="99"/>
    <w:semiHidden/>
    <w:unhideWhenUsed/>
    <w:rsid w:val="000F1B7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1B7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61807850">
      <w:bodyDiv w:val="1"/>
      <w:marLeft w:val="0"/>
      <w:marRight w:val="0"/>
      <w:marTop w:val="0"/>
      <w:marBottom w:val="0"/>
      <w:divBdr>
        <w:top w:val="none" w:sz="0" w:space="0" w:color="auto"/>
        <w:left w:val="none" w:sz="0" w:space="0" w:color="auto"/>
        <w:bottom w:val="none" w:sz="0" w:space="0" w:color="auto"/>
        <w:right w:val="none" w:sz="0" w:space="0" w:color="auto"/>
      </w:divBdr>
    </w:div>
    <w:div w:id="1445493156">
      <w:bodyDiv w:val="1"/>
      <w:marLeft w:val="0"/>
      <w:marRight w:val="0"/>
      <w:marTop w:val="0"/>
      <w:marBottom w:val="0"/>
      <w:divBdr>
        <w:top w:val="none" w:sz="0" w:space="0" w:color="auto"/>
        <w:left w:val="none" w:sz="0" w:space="0" w:color="auto"/>
        <w:bottom w:val="none" w:sz="0" w:space="0" w:color="auto"/>
        <w:right w:val="none" w:sz="0" w:space="0" w:color="auto"/>
      </w:divBdr>
    </w:div>
    <w:div w:id="17497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Desktop\&#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5005978419364246"/>
          <c:y val="0.17104174478190476"/>
          <c:w val="0.66701315981335652"/>
          <c:h val="0.72954693163355377"/>
        </c:manualLayout>
      </c:layout>
      <c:barChart>
        <c:barDir val="col"/>
        <c:grouping val="clustered"/>
        <c:ser>
          <c:idx val="0"/>
          <c:order val="0"/>
          <c:tx>
            <c:strRef>
              <c:f>Лист1!$B$1</c:f>
              <c:strCache>
                <c:ptCount val="1"/>
                <c:pt idx="0">
                  <c:v>Количество клиентов</c:v>
                </c:pt>
              </c:strCache>
            </c:strRef>
          </c:tx>
          <c:dLbls>
            <c:dLbl>
              <c:idx val="0"/>
              <c:layout>
                <c:manualLayout>
                  <c:x val="-2.3148148148148168E-2"/>
                  <c:y val="-7.9365079365080124E-3"/>
                </c:manualLayout>
              </c:layout>
              <c:showVal val="1"/>
            </c:dLbl>
            <c:dLbl>
              <c:idx val="1"/>
              <c:layout>
                <c:manualLayout>
                  <c:x val="-2.3148148148148147E-2"/>
                  <c:y val="-7.9365079365079534E-3"/>
                </c:manualLayout>
              </c:layout>
              <c:showVal val="1"/>
            </c:dLbl>
            <c:dLbl>
              <c:idx val="2"/>
              <c:layout>
                <c:manualLayout>
                  <c:x val="-1.8518518518518753E-2"/>
                  <c:y val="0"/>
                </c:manualLayout>
              </c:layout>
              <c:showVal val="1"/>
            </c:dLbl>
            <c:showVal val="1"/>
          </c:dLbls>
          <c:cat>
            <c:numRef>
              <c:f>Лист1!$A$2:$A$4</c:f>
              <c:numCache>
                <c:formatCode>General</c:formatCode>
                <c:ptCount val="3"/>
              </c:numCache>
            </c:numRef>
          </c:cat>
          <c:val>
            <c:numRef>
              <c:f>Лист1!$B$2:$B$4</c:f>
              <c:numCache>
                <c:formatCode>_-* #,##0_р_._-;\-* #,##0_р_._-;_-* "-"??_р_._-;_-@_-</c:formatCode>
                <c:ptCount val="3"/>
                <c:pt idx="0">
                  <c:v>1755492</c:v>
                </c:pt>
                <c:pt idx="1">
                  <c:v>1880634</c:v>
                </c:pt>
                <c:pt idx="2">
                  <c:v>1995648</c:v>
                </c:pt>
              </c:numCache>
            </c:numRef>
          </c:val>
        </c:ser>
        <c:ser>
          <c:idx val="1"/>
          <c:order val="1"/>
          <c:tx>
            <c:strRef>
              <c:f>Лист1!$C$1</c:f>
              <c:strCache>
                <c:ptCount val="1"/>
                <c:pt idx="0">
                  <c:v>Количество счетов</c:v>
                </c:pt>
              </c:strCache>
            </c:strRef>
          </c:tx>
          <c:dLbls>
            <c:dLbl>
              <c:idx val="0"/>
              <c:layout>
                <c:manualLayout>
                  <c:x val="0"/>
                  <c:y val="7.9365079365079534E-3"/>
                </c:manualLayout>
              </c:layout>
              <c:showVal val="1"/>
            </c:dLbl>
            <c:dLbl>
              <c:idx val="2"/>
              <c:layout>
                <c:manualLayout>
                  <c:x val="0"/>
                  <c:y val="7.9365079365079534E-3"/>
                </c:manualLayout>
              </c:layout>
              <c:showVal val="1"/>
            </c:dLbl>
            <c:showVal val="1"/>
          </c:dLbls>
          <c:cat>
            <c:numRef>
              <c:f>Лист1!$A$2:$A$4</c:f>
              <c:numCache>
                <c:formatCode>General</c:formatCode>
                <c:ptCount val="3"/>
              </c:numCache>
            </c:numRef>
          </c:cat>
          <c:val>
            <c:numRef>
              <c:f>Лист1!$C$2:$C$4</c:f>
              <c:numCache>
                <c:formatCode>_-* #,##0_р_._-;\-* #,##0_р_._-;_-* "-"??_р_._-;_-@_-</c:formatCode>
                <c:ptCount val="3"/>
                <c:pt idx="0">
                  <c:v>6469921</c:v>
                </c:pt>
                <c:pt idx="1">
                  <c:v>7263621</c:v>
                </c:pt>
                <c:pt idx="2">
                  <c:v>7506383</c:v>
                </c:pt>
              </c:numCache>
            </c:numRef>
          </c:val>
        </c:ser>
        <c:axId val="50677248"/>
        <c:axId val="50742784"/>
      </c:barChart>
      <c:catAx>
        <c:axId val="50677248"/>
        <c:scaling>
          <c:orientation val="minMax"/>
        </c:scaling>
        <c:axPos val="b"/>
        <c:numFmt formatCode="General" sourceLinked="1"/>
        <c:tickLblPos val="nextTo"/>
        <c:crossAx val="50742784"/>
        <c:crosses val="autoZero"/>
        <c:auto val="1"/>
        <c:lblAlgn val="ctr"/>
        <c:lblOffset val="100"/>
      </c:catAx>
      <c:valAx>
        <c:axId val="50742784"/>
        <c:scaling>
          <c:orientation val="minMax"/>
        </c:scaling>
        <c:axPos val="l"/>
        <c:majorGridlines>
          <c:spPr>
            <a:ln w="0">
              <a:solidFill>
                <a:sysClr val="windowText" lastClr="000000">
                  <a:tint val="75000"/>
                  <a:shade val="95000"/>
                  <a:satMod val="105000"/>
                  <a:alpha val="0"/>
                </a:sysClr>
              </a:solidFill>
            </a:ln>
          </c:spPr>
        </c:majorGridlines>
        <c:numFmt formatCode="_-* #,##0_р_._-;\-* #,##0_р_._-;_-* &quot;-&quot;??_р_._-;_-@_-" sourceLinked="1"/>
        <c:tickLblPos val="nextTo"/>
        <c:crossAx val="50677248"/>
        <c:crosses val="autoZero"/>
        <c:crossBetween val="between"/>
      </c:valAx>
    </c:plotArea>
    <c:legend>
      <c:legendPos val="r"/>
      <c:layout>
        <c:manualLayout>
          <c:xMode val="edge"/>
          <c:yMode val="edge"/>
          <c:x val="0.83096183289590064"/>
          <c:y val="0.42824240719910434"/>
          <c:w val="0.15514927821522537"/>
          <c:h val="0.22288026496687918"/>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uz-Cyrl-UZ" sz="1200"/>
              <a:t>Количество установленных банкоматов и инфокиосков в Республике Узбекистан,</a:t>
            </a:r>
            <a:r>
              <a:rPr lang="uz-Cyrl-UZ" sz="1200" baseline="0"/>
              <a:t> </a:t>
            </a:r>
            <a:r>
              <a:rPr lang="uz-Cyrl-UZ" sz="1200" i="1" baseline="0"/>
              <a:t>штук</a:t>
            </a:r>
            <a:endParaRPr lang="ru-RU" sz="1200" i="1"/>
          </a:p>
        </c:rich>
      </c:tx>
    </c:title>
    <c:view3D>
      <c:rAngAx val="1"/>
    </c:view3D>
    <c:plotArea>
      <c:layout>
        <c:manualLayout>
          <c:layoutTarget val="inner"/>
          <c:xMode val="edge"/>
          <c:yMode val="edge"/>
          <c:x val="8.3462561971420268E-2"/>
          <c:y val="0.16697444069491321"/>
          <c:w val="0.73709047668264416"/>
          <c:h val="0.71817517045975265"/>
        </c:manualLayout>
      </c:layout>
      <c:bar3DChart>
        <c:barDir val="col"/>
        <c:grouping val="clustered"/>
        <c:ser>
          <c:idx val="0"/>
          <c:order val="0"/>
          <c:tx>
            <c:strRef>
              <c:f>Лист1!$B$1</c:f>
              <c:strCache>
                <c:ptCount val="1"/>
                <c:pt idx="0">
                  <c:v>Количество банкоматов и инфокиосков</c:v>
                </c:pt>
              </c:strCache>
            </c:strRef>
          </c:tx>
          <c:dLbls>
            <c:dLbl>
              <c:idx val="0"/>
              <c:layout>
                <c:manualLayout>
                  <c:x val="2.7777777777778546E-2"/>
                  <c:y val="-2.3809523809523812E-2"/>
                </c:manualLayout>
              </c:layout>
              <c:showVal val="1"/>
            </c:dLbl>
            <c:dLbl>
              <c:idx val="1"/>
              <c:layout>
                <c:manualLayout>
                  <c:x val="2.7777777777778546E-2"/>
                  <c:y val="-2.3809523809523812E-2"/>
                </c:manualLayout>
              </c:layout>
              <c:showVal val="1"/>
            </c:dLbl>
            <c:dLbl>
              <c:idx val="2"/>
              <c:layout>
                <c:manualLayout>
                  <c:x val="3.0092592592592511E-2"/>
                  <c:y val="-2.3809523809523812E-2"/>
                </c:manualLayout>
              </c:layout>
              <c:showVal val="1"/>
            </c:dLbl>
            <c:showVal val="1"/>
          </c:dLbls>
          <c:cat>
            <c:strRef>
              <c:f>Лист1!$A$2:$A$4</c:f>
              <c:strCache>
                <c:ptCount val="3"/>
                <c:pt idx="0">
                  <c:v>Категория 1</c:v>
                </c:pt>
                <c:pt idx="1">
                  <c:v>Категория 2</c:v>
                </c:pt>
                <c:pt idx="2">
                  <c:v>Категория 3</c:v>
                </c:pt>
              </c:strCache>
            </c:strRef>
          </c:cat>
          <c:val>
            <c:numRef>
              <c:f>Лист1!$B$2:$B$4</c:f>
              <c:numCache>
                <c:formatCode>General</c:formatCode>
                <c:ptCount val="3"/>
                <c:pt idx="0">
                  <c:v>5252</c:v>
                </c:pt>
                <c:pt idx="1">
                  <c:v>6069</c:v>
                </c:pt>
                <c:pt idx="2">
                  <c:v>7495</c:v>
                </c:pt>
              </c:numCache>
            </c:numRef>
          </c:val>
        </c:ser>
        <c:shape val="box"/>
        <c:axId val="51019776"/>
        <c:axId val="51021312"/>
        <c:axId val="0"/>
      </c:bar3DChart>
      <c:catAx>
        <c:axId val="51019776"/>
        <c:scaling>
          <c:orientation val="minMax"/>
        </c:scaling>
        <c:delete val="1"/>
        <c:axPos val="b"/>
        <c:tickLblPos val="none"/>
        <c:crossAx val="51021312"/>
        <c:crosses val="autoZero"/>
        <c:auto val="1"/>
        <c:lblAlgn val="ctr"/>
        <c:lblOffset val="100"/>
      </c:catAx>
      <c:valAx>
        <c:axId val="51021312"/>
        <c:scaling>
          <c:orientation val="minMax"/>
        </c:scaling>
        <c:axPos val="l"/>
        <c:numFmt formatCode="General" sourceLinked="1"/>
        <c:tickLblPos val="nextTo"/>
        <c:crossAx val="51019776"/>
        <c:crosses val="autoZero"/>
        <c:crossBetween val="between"/>
      </c:valAx>
    </c:plotArea>
    <c:legend>
      <c:legendPos val="r"/>
      <c:layout>
        <c:manualLayout>
          <c:xMode val="edge"/>
          <c:yMode val="edge"/>
          <c:x val="0.81824244298985482"/>
          <c:y val="0.41903811908530048"/>
          <c:w val="0.16786863261475887"/>
          <c:h val="0.28163814731982734"/>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Сумма осуществленных транзакций в национальной валюте через платежные терминалы в Республике Узбекистан, </a:t>
            </a:r>
          </a:p>
          <a:p>
            <a:pPr>
              <a:defRPr/>
            </a:pPr>
            <a:r>
              <a:rPr lang="ru-RU" sz="1200"/>
              <a:t>в млрд сумах</a:t>
            </a:r>
          </a:p>
        </c:rich>
      </c:tx>
    </c:title>
    <c:view3D>
      <c:rAngAx val="1"/>
    </c:view3D>
    <c:plotArea>
      <c:layout>
        <c:manualLayout>
          <c:layoutTarget val="inner"/>
          <c:xMode val="edge"/>
          <c:yMode val="edge"/>
          <c:x val="0.12135608048993876"/>
          <c:y val="0.16697444069491321"/>
          <c:w val="0.67773075240595815"/>
          <c:h val="0.73361423572053563"/>
        </c:manualLayout>
      </c:layout>
      <c:bar3DChart>
        <c:barDir val="col"/>
        <c:grouping val="clustered"/>
        <c:ser>
          <c:idx val="0"/>
          <c:order val="0"/>
          <c:tx>
            <c:strRef>
              <c:f>Лист1!$B$1</c:f>
              <c:strCache>
                <c:ptCount val="1"/>
                <c:pt idx="0">
                  <c:v>Сумма транзакций терминалов</c:v>
                </c:pt>
              </c:strCache>
            </c:strRef>
          </c:tx>
          <c:dLbls>
            <c:dLbl>
              <c:idx val="0"/>
              <c:layout>
                <c:manualLayout>
                  <c:x val="9.269876769031897E-3"/>
                  <c:y val="-1.0120925132249417E-2"/>
                </c:manualLayout>
              </c:layout>
              <c:showVal val="1"/>
            </c:dLbl>
            <c:dLbl>
              <c:idx val="1"/>
              <c:layout>
                <c:manualLayout>
                  <c:x val="6.9524075767739219E-3"/>
                  <c:y val="-1.6868208553749021E-2"/>
                </c:manualLayout>
              </c:layout>
              <c:showVal val="1"/>
            </c:dLbl>
            <c:dLbl>
              <c:idx val="2"/>
              <c:layout>
                <c:manualLayout>
                  <c:x val="1.1587345961289871E-2"/>
                  <c:y val="-1.0120925132249417E-2"/>
                </c:manualLayout>
              </c:layout>
              <c:showVal val="1"/>
            </c:dLbl>
            <c:showVal val="1"/>
          </c:dLbls>
          <c:cat>
            <c:strRef>
              <c:f>Лист1!$A$2:$A$4</c:f>
              <c:strCache>
                <c:ptCount val="3"/>
                <c:pt idx="0">
                  <c:v>Категория 1</c:v>
                </c:pt>
                <c:pt idx="1">
                  <c:v>Категория 2</c:v>
                </c:pt>
                <c:pt idx="2">
                  <c:v>Категория 3</c:v>
                </c:pt>
              </c:strCache>
            </c:strRef>
          </c:cat>
          <c:val>
            <c:numRef>
              <c:f>Лист1!$B$2:$B$4</c:f>
              <c:numCache>
                <c:formatCode>_-* #,##0_р_._-;\-* #,##0_р_._-;_-* "-"??_р_._-;_-@_-</c:formatCode>
                <c:ptCount val="3"/>
                <c:pt idx="0">
                  <c:v>15123.164200484411</c:v>
                </c:pt>
                <c:pt idx="1">
                  <c:v>12723.785020790931</c:v>
                </c:pt>
                <c:pt idx="2">
                  <c:v>15275.584917115468</c:v>
                </c:pt>
              </c:numCache>
            </c:numRef>
          </c:val>
        </c:ser>
        <c:shape val="cone"/>
        <c:axId val="51271552"/>
        <c:axId val="51273088"/>
        <c:axId val="0"/>
      </c:bar3DChart>
      <c:catAx>
        <c:axId val="51271552"/>
        <c:scaling>
          <c:orientation val="minMax"/>
        </c:scaling>
        <c:delete val="1"/>
        <c:axPos val="b"/>
        <c:tickLblPos val="none"/>
        <c:crossAx val="51273088"/>
        <c:crosses val="autoZero"/>
        <c:auto val="1"/>
        <c:lblAlgn val="ctr"/>
        <c:lblOffset val="100"/>
      </c:catAx>
      <c:valAx>
        <c:axId val="51273088"/>
        <c:scaling>
          <c:orientation val="minMax"/>
          <c:min val="0"/>
        </c:scaling>
        <c:axPos val="l"/>
        <c:majorGridlines/>
        <c:numFmt formatCode="General" sourceLinked="0"/>
        <c:tickLblPos val="nextTo"/>
        <c:crossAx val="51271552"/>
        <c:crosses val="autoZero"/>
        <c:crossBetween val="between"/>
      </c:valAx>
    </c:plotArea>
    <c:legend>
      <c:legendPos val="r"/>
      <c:layout>
        <c:manualLayout>
          <c:xMode val="edge"/>
          <c:yMode val="edge"/>
          <c:x val="0.78519794400699916"/>
          <c:y val="0.50160542432195976"/>
          <c:w val="0.20091316710411244"/>
          <c:h val="0.2387532808398981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200" b="1" i="0" u="none" strike="noStrike" kern="1200" baseline="0">
                <a:solidFill>
                  <a:schemeClr val="tx1">
                    <a:lumMod val="65000"/>
                    <a:lumOff val="35000"/>
                  </a:schemeClr>
                </a:solidFill>
                <a:latin typeface="+mn-lt"/>
                <a:ea typeface="+mn-ea"/>
                <a:cs typeface="+mn-cs"/>
              </a:defRPr>
            </a:pPr>
            <a:r>
              <a:rPr lang="uz-Cyrl-UZ" sz="1200" b="1" i="0" u="none" strike="noStrike" baseline="0"/>
              <a:t>Сведения о транзакциях осуществленных через Межбанковскую платежную систему в первых кварталах 2017-2019 годах</a:t>
            </a:r>
            <a:endParaRPr lang="ru-RU" sz="1200"/>
          </a:p>
        </c:rich>
      </c:tx>
      <c:layout>
        <c:manualLayout>
          <c:xMode val="edge"/>
          <c:yMode val="edge"/>
          <c:x val="0.12839457133399537"/>
          <c:y val="3.2407419660778237E-2"/>
        </c:manualLayout>
      </c:layout>
      <c:spPr>
        <a:noFill/>
        <a:ln>
          <a:noFill/>
        </a:ln>
        <a:effectLst/>
      </c:spPr>
    </c:title>
    <c:plotArea>
      <c:layout>
        <c:manualLayout>
          <c:layoutTarget val="inner"/>
          <c:xMode val="edge"/>
          <c:yMode val="edge"/>
          <c:x val="8.4129935595191746E-2"/>
          <c:y val="0.13234733893557424"/>
          <c:w val="0.90130535073383955"/>
          <c:h val="0.64535962416463422"/>
        </c:manualLayout>
      </c:layout>
      <c:barChart>
        <c:barDir val="col"/>
        <c:grouping val="clustered"/>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layout>
                <c:manualLayout>
                  <c:x val="-2.6481297583582446E-3"/>
                  <c:y val="0.12100840336134454"/>
                </c:manualLayout>
              </c:layout>
              <c:tx>
                <c:rich>
                  <a:bodyPr/>
                  <a:lstStyle/>
                  <a:p>
                    <a:r>
                      <a:rPr lang="en-US"/>
                      <a:t> 17</a:t>
                    </a:r>
                    <a:r>
                      <a:rPr lang="uz-Cyrl-UZ"/>
                      <a:t>,</a:t>
                    </a:r>
                    <a:r>
                      <a:rPr lang="en-US"/>
                      <a:t>9</a:t>
                    </a:r>
                    <a:r>
                      <a:rPr lang="uz-Cyrl-UZ"/>
                      <a:t>5</a:t>
                    </a:r>
                    <a:r>
                      <a:rPr lang="en-US"/>
                      <a:t>   </a:t>
                    </a:r>
                  </a:p>
                </c:rich>
              </c:tx>
              <c:showVal val="1"/>
            </c:dLbl>
            <c:dLbl>
              <c:idx val="1"/>
              <c:layout>
                <c:manualLayout>
                  <c:x val="1.32406487917908E-3"/>
                  <c:y val="0.10756302521008579"/>
                </c:manualLayout>
              </c:layout>
              <c:tx>
                <c:rich>
                  <a:bodyPr/>
                  <a:lstStyle/>
                  <a:p>
                    <a:r>
                      <a:rPr lang="en-US"/>
                      <a:t> 17</a:t>
                    </a:r>
                    <a:r>
                      <a:rPr lang="uz-Cyrl-UZ"/>
                      <a:t>,</a:t>
                    </a:r>
                    <a:r>
                      <a:rPr lang="en-US"/>
                      <a:t>52</a:t>
                    </a:r>
                  </a:p>
                </c:rich>
              </c:tx>
              <c:showVal val="1"/>
            </c:dLbl>
            <c:dLbl>
              <c:idx val="2"/>
              <c:layout>
                <c:manualLayout>
                  <c:x val="-2.1378941742383802E-3"/>
                  <c:y val="8.9297558684434244E-2"/>
                </c:manualLayout>
              </c:layout>
              <c:tx>
                <c:rich>
                  <a:bodyPr/>
                  <a:lstStyle/>
                  <a:p>
                    <a:r>
                      <a:rPr lang="en-US"/>
                      <a:t> 16</a:t>
                    </a:r>
                    <a:r>
                      <a:rPr lang="uz-Cyrl-UZ"/>
                      <a:t>,</a:t>
                    </a:r>
                    <a:r>
                      <a:rPr lang="en-US"/>
                      <a:t>0</a:t>
                    </a:r>
                    <a:r>
                      <a:rPr lang="uz-Cyrl-UZ"/>
                      <a:t>3</a:t>
                    </a:r>
                    <a:r>
                      <a:rPr lang="en-US"/>
                      <a:t>   </a:t>
                    </a:r>
                  </a:p>
                </c:rich>
              </c:tx>
              <c:showVal val="1"/>
            </c:dLbl>
            <c:spPr>
              <a:noFill/>
              <a:ln>
                <a:noFill/>
              </a:ln>
            </c:spPr>
            <c:txPr>
              <a:bodyPr/>
              <a:lstStyle/>
              <a:p>
                <a:pPr>
                  <a:defRPr sz="1000" u="none" baseline="0">
                    <a:solidFill>
                      <a:sysClr val="windowText" lastClr="000000"/>
                    </a:solidFill>
                  </a:defRPr>
                </a:pPr>
                <a:endParaRPr lang="ru-RU"/>
              </a:p>
            </c:txPr>
            <c:showVal val="1"/>
          </c:dLbls>
          <c:cat>
            <c:numRef>
              <c:f>Лист1!$H$7:$H$9</c:f>
              <c:numCache>
                <c:formatCode>General</c:formatCode>
                <c:ptCount val="3"/>
                <c:pt idx="0">
                  <c:v>2017</c:v>
                </c:pt>
                <c:pt idx="1">
                  <c:v>2018</c:v>
                </c:pt>
                <c:pt idx="2">
                  <c:v>2019</c:v>
                </c:pt>
              </c:numCache>
            </c:numRef>
          </c:cat>
          <c:val>
            <c:numRef>
              <c:f>Лист1!$I$7:$I$9</c:f>
              <c:numCache>
                <c:formatCode>_-* #,##0_р_._-;\-* #,##0_р_._-;_-* "-"??_р_._-;_-@_-</c:formatCode>
                <c:ptCount val="3"/>
                <c:pt idx="0">
                  <c:v>17949162</c:v>
                </c:pt>
                <c:pt idx="1">
                  <c:v>17522364</c:v>
                </c:pt>
                <c:pt idx="2">
                  <c:v>16026978</c:v>
                </c:pt>
              </c:numCache>
            </c:numRef>
          </c:val>
        </c:ser>
        <c:axId val="111230976"/>
        <c:axId val="112009984"/>
      </c:barChart>
      <c:lineChart>
        <c:grouping val="standard"/>
        <c:ser>
          <c:idx val="1"/>
          <c:order val="1"/>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layout>
                <c:manualLayout>
                  <c:x val="-3.5749751737835157E-2"/>
                  <c:y val="-7.1708683473389351E-2"/>
                </c:manualLayout>
              </c:layout>
              <c:tx>
                <c:rich>
                  <a:bodyPr/>
                  <a:lstStyle/>
                  <a:p>
                    <a:r>
                      <a:rPr lang="en-US" sz="1000"/>
                      <a:t> </a:t>
                    </a:r>
                    <a:r>
                      <a:rPr lang="en-US"/>
                      <a:t>164</a:t>
                    </a:r>
                    <a:r>
                      <a:rPr lang="uz-Cyrl-UZ"/>
                      <a:t>,2</a:t>
                    </a:r>
                    <a:r>
                      <a:rPr lang="en-US"/>
                      <a:t>   </a:t>
                    </a:r>
                  </a:p>
                </c:rich>
              </c:tx>
              <c:showVal val="1"/>
            </c:dLbl>
            <c:dLbl>
              <c:idx val="1"/>
              <c:layout>
                <c:manualLayout>
                  <c:x val="-5.6934789804700431E-2"/>
                  <c:y val="-6.2745098039215713E-2"/>
                </c:manualLayout>
              </c:layout>
              <c:tx>
                <c:rich>
                  <a:bodyPr/>
                  <a:lstStyle/>
                  <a:p>
                    <a:r>
                      <a:rPr lang="en-US" sz="1000"/>
                      <a:t> </a:t>
                    </a:r>
                    <a:r>
                      <a:rPr lang="en-US"/>
                      <a:t>177</a:t>
                    </a:r>
                    <a:r>
                      <a:rPr lang="uz-Cyrl-UZ"/>
                      <a:t>,1</a:t>
                    </a:r>
                    <a:r>
                      <a:rPr lang="en-US"/>
                      <a:t>   </a:t>
                    </a:r>
                  </a:p>
                </c:rich>
              </c:tx>
              <c:showVal val="1"/>
            </c:dLbl>
            <c:dLbl>
              <c:idx val="2"/>
              <c:tx>
                <c:rich>
                  <a:bodyPr/>
                  <a:lstStyle/>
                  <a:p>
                    <a:r>
                      <a:rPr lang="en-US" sz="1000"/>
                      <a:t> </a:t>
                    </a:r>
                    <a:r>
                      <a:rPr lang="en-US"/>
                      <a:t>222</a:t>
                    </a:r>
                    <a:r>
                      <a:rPr lang="uz-Cyrl-UZ"/>
                      <a:t>,3</a:t>
                    </a:r>
                    <a:r>
                      <a:rPr lang="en-US"/>
                      <a:t>   </a:t>
                    </a:r>
                  </a:p>
                </c:rich>
              </c:tx>
              <c:showVal val="1"/>
            </c:dLbl>
            <c:txPr>
              <a:bodyPr/>
              <a:lstStyle/>
              <a:p>
                <a:pPr>
                  <a:defRPr sz="1000" baseline="0">
                    <a:solidFill>
                      <a:schemeClr val="accent2">
                        <a:lumMod val="75000"/>
                      </a:schemeClr>
                    </a:solidFill>
                  </a:defRPr>
                </a:pPr>
                <a:endParaRPr lang="ru-RU"/>
              </a:p>
            </c:txPr>
            <c:showVal val="1"/>
          </c:dLbls>
          <c:cat>
            <c:numRef>
              <c:f>Лист1!$H$7:$H$9</c:f>
              <c:numCache>
                <c:formatCode>General</c:formatCode>
                <c:ptCount val="3"/>
                <c:pt idx="0">
                  <c:v>2017</c:v>
                </c:pt>
                <c:pt idx="1">
                  <c:v>2018</c:v>
                </c:pt>
                <c:pt idx="2">
                  <c:v>2019</c:v>
                </c:pt>
              </c:numCache>
            </c:numRef>
          </c:cat>
          <c:val>
            <c:numRef>
              <c:f>Лист1!$J$7:$J$9</c:f>
              <c:numCache>
                <c:formatCode>_-* #,##0_р_._-;\-* #,##0_р_._-;_-* "-"??_р_._-;_-@_-</c:formatCode>
                <c:ptCount val="3"/>
                <c:pt idx="0">
                  <c:v>16414831.233100001</c:v>
                </c:pt>
                <c:pt idx="1">
                  <c:v>17707760.531099997</c:v>
                </c:pt>
                <c:pt idx="2">
                  <c:v>22233538.6514</c:v>
                </c:pt>
              </c:numCache>
            </c:numRef>
          </c:val>
        </c:ser>
        <c:marker val="1"/>
        <c:axId val="111230976"/>
        <c:axId val="112009984"/>
      </c:lineChart>
      <c:catAx>
        <c:axId val="111230976"/>
        <c:scaling>
          <c:orientation val="minMax"/>
        </c:scaling>
        <c:delete val="1"/>
        <c:axPos val="b"/>
        <c:numFmt formatCode="General" sourceLinked="1"/>
        <c:majorTickMark val="none"/>
        <c:tickLblPos val="none"/>
        <c:crossAx val="112009984"/>
        <c:crosses val="autoZero"/>
        <c:auto val="1"/>
        <c:lblAlgn val="ctr"/>
        <c:lblOffset val="100"/>
      </c:catAx>
      <c:valAx>
        <c:axId val="112009984"/>
        <c:scaling>
          <c:orientation val="minMax"/>
        </c:scaling>
        <c:delete val="1"/>
        <c:axPos val="l"/>
        <c:majorGridlines>
          <c:spPr>
            <a:ln w="9525" cap="flat" cmpd="sng" algn="ctr">
              <a:solidFill>
                <a:schemeClr val="tx1">
                  <a:lumMod val="15000"/>
                  <a:lumOff val="85000"/>
                </a:schemeClr>
              </a:solidFill>
              <a:round/>
            </a:ln>
            <a:effectLst/>
          </c:spPr>
        </c:majorGridlines>
        <c:numFmt formatCode="_-* #,##0_р_._-;\-* #,##0_р_._-;_-* &quot;-&quot;??_р_._-;_-@_-" sourceLinked="1"/>
        <c:majorTickMark val="none"/>
        <c:tickLblPos val="none"/>
        <c:crossAx val="1112309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z-Cyrl-UZ" sz="1000"/>
              <a:t>Количество транзакций осуществленных в первом квартале 2019 года через Межбанковскую платежную систему Центрального банка в разрезе платежных документов, </a:t>
            </a:r>
            <a:r>
              <a:rPr lang="uz-Cyrl-UZ" sz="1000" i="1"/>
              <a:t>в тысячах</a:t>
            </a:r>
            <a:endParaRPr lang="ru-RU" sz="1000" i="1"/>
          </a:p>
        </c:rich>
      </c:tx>
      <c:layout>
        <c:manualLayout>
          <c:xMode val="edge"/>
          <c:yMode val="edge"/>
          <c:x val="0.10856995995867522"/>
          <c:y val="3.5981579980925757E-2"/>
        </c:manualLayout>
      </c:layout>
    </c:title>
    <c:view3D>
      <c:rotX val="30"/>
      <c:rotY val="170"/>
      <c:perspective val="30"/>
    </c:view3D>
    <c:plotArea>
      <c:layout/>
      <c:pie3DChart>
        <c:varyColors val="1"/>
        <c:ser>
          <c:idx val="0"/>
          <c:order val="0"/>
          <c:tx>
            <c:strRef>
              <c:f>Лист1!$B$1</c:f>
              <c:strCache>
                <c:ptCount val="1"/>
                <c:pt idx="0">
                  <c:v>Продажи</c:v>
                </c:pt>
              </c:strCache>
            </c:strRef>
          </c:tx>
          <c:explosion val="25"/>
          <c:dLbls>
            <c:dLbl>
              <c:idx val="0"/>
              <c:tx>
                <c:rich>
                  <a:bodyPr/>
                  <a:lstStyle/>
                  <a:p>
                    <a:r>
                      <a:rPr lang="en-US"/>
                      <a:t>9081</a:t>
                    </a:r>
                    <a:r>
                      <a:rPr lang="uz-Cyrl-UZ"/>
                      <a:t>,1</a:t>
                    </a:r>
                    <a:endParaRPr lang="en-US"/>
                  </a:p>
                </c:rich>
              </c:tx>
              <c:showVal val="1"/>
            </c:dLbl>
            <c:dLbl>
              <c:idx val="1"/>
              <c:tx>
                <c:rich>
                  <a:bodyPr/>
                  <a:lstStyle/>
                  <a:p>
                    <a:r>
                      <a:rPr lang="en-US"/>
                      <a:t>5039</a:t>
                    </a:r>
                    <a:r>
                      <a:rPr lang="uz-Cyrl-UZ"/>
                      <a:t>,1</a:t>
                    </a:r>
                    <a:endParaRPr lang="en-US"/>
                  </a:p>
                </c:rich>
              </c:tx>
              <c:showVal val="1"/>
            </c:dLbl>
            <c:dLbl>
              <c:idx val="2"/>
              <c:tx>
                <c:rich>
                  <a:bodyPr/>
                  <a:lstStyle/>
                  <a:p>
                    <a:r>
                      <a:rPr lang="en-US"/>
                      <a:t>1798</a:t>
                    </a:r>
                    <a:r>
                      <a:rPr lang="uz-Cyrl-UZ"/>
                      <a:t>,4</a:t>
                    </a:r>
                    <a:endParaRPr lang="en-US"/>
                  </a:p>
                </c:rich>
              </c:tx>
              <c:showVal val="1"/>
            </c:dLbl>
            <c:dLbl>
              <c:idx val="3"/>
              <c:tx>
                <c:rich>
                  <a:bodyPr/>
                  <a:lstStyle/>
                  <a:p>
                    <a:r>
                      <a:rPr lang="en-US"/>
                      <a:t>108</a:t>
                    </a:r>
                    <a:r>
                      <a:rPr lang="uz-Cyrl-UZ"/>
                      <a:t>,5</a:t>
                    </a:r>
                    <a:endParaRPr lang="en-US"/>
                  </a:p>
                </c:rich>
              </c:tx>
              <c:showVal val="1"/>
            </c:dLbl>
            <c:showVal val="1"/>
            <c:showLeaderLines val="1"/>
          </c:dLbls>
          <c:cat>
            <c:strRef>
              <c:f>Лист1!$A$2:$A$5</c:f>
              <c:strCache>
                <c:ptCount val="4"/>
                <c:pt idx="0">
                  <c:v>Платежное поручение</c:v>
                </c:pt>
                <c:pt idx="1">
                  <c:v>Мемориальный ордер</c:v>
                </c:pt>
                <c:pt idx="2">
                  <c:v>Инкассовое поручение</c:v>
                </c:pt>
                <c:pt idx="3">
                  <c:v>Другие</c:v>
                </c:pt>
              </c:strCache>
            </c:strRef>
          </c:cat>
          <c:val>
            <c:numRef>
              <c:f>Лист1!$B$2:$B$5</c:f>
              <c:numCache>
                <c:formatCode>General</c:formatCode>
                <c:ptCount val="4"/>
                <c:pt idx="0">
                  <c:v>9081068</c:v>
                </c:pt>
                <c:pt idx="1">
                  <c:v>5039070</c:v>
                </c:pt>
                <c:pt idx="2">
                  <c:v>1798351</c:v>
                </c:pt>
                <c:pt idx="3">
                  <c:v>108489</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uz-Cyrl-UZ" sz="1000"/>
              <a:t>Сумма транзакций осуществленных в первом квартале 2019 года через Межбанковскую платежную систему Центрального банка в разрезе платежных документов, </a:t>
            </a:r>
            <a:r>
              <a:rPr lang="uz-Cyrl-UZ" sz="1000" i="1"/>
              <a:t>в </a:t>
            </a:r>
            <a:r>
              <a:rPr lang="ru-RU" sz="1000" b="1" i="1" baseline="0"/>
              <a:t>млрд. сумах</a:t>
            </a:r>
          </a:p>
        </c:rich>
      </c:tx>
      <c:layout>
        <c:manualLayout>
          <c:xMode val="edge"/>
          <c:yMode val="edge"/>
          <c:x val="0.10393689843161807"/>
          <c:y val="4.4288554930711509E-2"/>
        </c:manualLayout>
      </c:layout>
    </c:title>
    <c:view3D>
      <c:rotX val="30"/>
      <c:rotY val="150"/>
      <c:perspective val="30"/>
    </c:view3D>
    <c:plotArea>
      <c:layout/>
      <c:pie3DChart>
        <c:varyColors val="1"/>
        <c:ser>
          <c:idx val="0"/>
          <c:order val="0"/>
          <c:tx>
            <c:strRef>
              <c:f>Лист1!$B$1</c:f>
              <c:strCache>
                <c:ptCount val="1"/>
                <c:pt idx="0">
                  <c:v>Продажи</c:v>
                </c:pt>
              </c:strCache>
            </c:strRef>
          </c:tx>
          <c:explosion val="25"/>
          <c:dLbls>
            <c:dLbl>
              <c:idx val="0"/>
              <c:tx>
                <c:rich>
                  <a:bodyPr/>
                  <a:lstStyle/>
                  <a:p>
                    <a:r>
                      <a:rPr lang="en-US"/>
                      <a:t> 147 249</a:t>
                    </a:r>
                    <a:r>
                      <a:rPr lang="uz-Cyrl-UZ"/>
                      <a:t>,1</a:t>
                    </a:r>
                    <a:r>
                      <a:rPr lang="en-US"/>
                      <a:t>   </a:t>
                    </a:r>
                  </a:p>
                </c:rich>
              </c:tx>
              <c:showVal val="1"/>
            </c:dLbl>
            <c:dLbl>
              <c:idx val="1"/>
              <c:tx>
                <c:rich>
                  <a:bodyPr/>
                  <a:lstStyle/>
                  <a:p>
                    <a:r>
                      <a:rPr lang="en-US"/>
                      <a:t> 73 782</a:t>
                    </a:r>
                    <a:r>
                      <a:rPr lang="uz-Cyrl-UZ"/>
                      <a:t>,5</a:t>
                    </a:r>
                    <a:r>
                      <a:rPr lang="en-US"/>
                      <a:t>   </a:t>
                    </a:r>
                  </a:p>
                </c:rich>
              </c:tx>
              <c:showVal val="1"/>
            </c:dLbl>
            <c:dLbl>
              <c:idx val="2"/>
              <c:tx>
                <c:rich>
                  <a:bodyPr/>
                  <a:lstStyle/>
                  <a:p>
                    <a:r>
                      <a:rPr lang="en-US"/>
                      <a:t> 1 303</a:t>
                    </a:r>
                    <a:r>
                      <a:rPr lang="uz-Cyrl-UZ"/>
                      <a:t>,9</a:t>
                    </a:r>
                    <a:r>
                      <a:rPr lang="en-US"/>
                      <a:t>   </a:t>
                    </a:r>
                  </a:p>
                </c:rich>
              </c:tx>
              <c:showVal val="1"/>
            </c:dLbl>
            <c:showVal val="1"/>
            <c:showLeaderLines val="1"/>
          </c:dLbls>
          <c:cat>
            <c:strRef>
              <c:f>Лист1!$A$2:$A$4</c:f>
              <c:strCache>
                <c:ptCount val="3"/>
                <c:pt idx="0">
                  <c:v>Платежное поручение</c:v>
                </c:pt>
                <c:pt idx="1">
                  <c:v>Мемориальный ордер</c:v>
                </c:pt>
                <c:pt idx="2">
                  <c:v>Другие</c:v>
                </c:pt>
              </c:strCache>
            </c:strRef>
          </c:cat>
          <c:val>
            <c:numRef>
              <c:f>Лист1!$B$2:$B$4</c:f>
              <c:numCache>
                <c:formatCode>_-* #,##0.00_р_._-;\-* #,##0.00_р_._-;_-* "-"??_р_._-;_-@_-</c:formatCode>
                <c:ptCount val="3"/>
                <c:pt idx="0">
                  <c:v>147249045.00099999</c:v>
                </c:pt>
                <c:pt idx="1">
                  <c:v>73782476.408999994</c:v>
                </c:pt>
                <c:pt idx="2">
                  <c:v>1303865.1040000001</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z-Cyrl-UZ" sz="1200" b="1" i="0" u="none" strike="noStrike" baseline="0"/>
              <a:t>Сумма транзакций осуществленных через Клиринговую систему расчетов Центрального банка,</a:t>
            </a:r>
            <a:r>
              <a:rPr lang="uz-Cyrl-UZ" sz="1200" baseline="0"/>
              <a:t> </a:t>
            </a:r>
            <a:r>
              <a:rPr lang="uz-Cyrl-UZ" sz="1200" i="1" baseline="0"/>
              <a:t>в млрд сумах</a:t>
            </a:r>
            <a:endParaRPr lang="ru-RU" sz="1200" i="1"/>
          </a:p>
        </c:rich>
      </c:tx>
      <c:layout>
        <c:manualLayout>
          <c:xMode val="edge"/>
          <c:yMode val="edge"/>
          <c:x val="0.12186231184505324"/>
          <c:y val="2.1020420593788777E-2"/>
        </c:manualLayout>
      </c:layout>
    </c:title>
    <c:plotArea>
      <c:layout>
        <c:manualLayout>
          <c:layoutTarget val="inner"/>
          <c:xMode val="edge"/>
          <c:yMode val="edge"/>
          <c:x val="0.12720107903178768"/>
          <c:y val="0.19604174478190417"/>
          <c:w val="0.63878262613006764"/>
          <c:h val="0.64105486814149093"/>
        </c:manualLayout>
      </c:layout>
      <c:lineChart>
        <c:grouping val="standard"/>
        <c:ser>
          <c:idx val="0"/>
          <c:order val="0"/>
          <c:tx>
            <c:strRef>
              <c:f>Лист1!$B$1</c:f>
              <c:strCache>
                <c:ptCount val="1"/>
                <c:pt idx="0">
                  <c:v>транзакции МУНИС </c:v>
                </c:pt>
              </c:strCache>
            </c:strRef>
          </c:tx>
          <c:dLbls>
            <c:dLbl>
              <c:idx val="0"/>
              <c:layout>
                <c:manualLayout>
                  <c:x val="-0.1041666666666677"/>
                  <c:y val="-3.1746031746031744E-2"/>
                </c:manualLayout>
              </c:layout>
              <c:showVal val="1"/>
            </c:dLbl>
            <c:showVal val="1"/>
          </c:dLbls>
          <c:cat>
            <c:strRef>
              <c:f>Лист1!$A$2:$A$4</c:f>
              <c:strCache>
                <c:ptCount val="3"/>
                <c:pt idx="0">
                  <c:v>Категория 1</c:v>
                </c:pt>
                <c:pt idx="1">
                  <c:v>Категория 2</c:v>
                </c:pt>
                <c:pt idx="2">
                  <c:v>Категория 3</c:v>
                </c:pt>
              </c:strCache>
            </c:strRef>
          </c:cat>
          <c:val>
            <c:numRef>
              <c:f>Лист1!$B$2:$B$4</c:f>
              <c:numCache>
                <c:formatCode>_-* #,##0.0_р_._-;\-* #,##0.0_р_._-;_-* "-"??_р_._-;_-@_-</c:formatCode>
                <c:ptCount val="3"/>
                <c:pt idx="0">
                  <c:v>1029.1954347547498</c:v>
                </c:pt>
                <c:pt idx="1">
                  <c:v>2245.5197677947999</c:v>
                </c:pt>
                <c:pt idx="2">
                  <c:v>3738.6651076542012</c:v>
                </c:pt>
              </c:numCache>
            </c:numRef>
          </c:val>
        </c:ser>
        <c:marker val="1"/>
        <c:axId val="119732096"/>
        <c:axId val="119733632"/>
      </c:lineChart>
      <c:catAx>
        <c:axId val="119732096"/>
        <c:scaling>
          <c:orientation val="minMax"/>
        </c:scaling>
        <c:delete val="1"/>
        <c:axPos val="b"/>
        <c:tickLblPos val="none"/>
        <c:crossAx val="119733632"/>
        <c:crosses val="autoZero"/>
        <c:auto val="1"/>
        <c:lblAlgn val="ctr"/>
        <c:lblOffset val="100"/>
      </c:catAx>
      <c:valAx>
        <c:axId val="119733632"/>
        <c:scaling>
          <c:orientation val="minMax"/>
        </c:scaling>
        <c:axPos val="l"/>
        <c:majorGridlines/>
        <c:numFmt formatCode="_-* #,##0.0_р_._-;\-* #,##0.0_р_._-;_-* &quot;-&quot;??_р_._-;_-@_-" sourceLinked="1"/>
        <c:tickLblPos val="nextTo"/>
        <c:crossAx val="119732096"/>
        <c:crosses val="autoZero"/>
        <c:crossBetween val="between"/>
      </c:valAx>
    </c:plotArea>
    <c:legend>
      <c:legendPos val="r"/>
      <c:layout>
        <c:manualLayout>
          <c:xMode val="edge"/>
          <c:yMode val="edge"/>
          <c:x val="0.76598370516185477"/>
          <c:y val="0.54011311086114056"/>
          <c:w val="0.22012740594925637"/>
          <c:h val="0.17493219597550341"/>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z-Cyrl-UZ" sz="1100"/>
              <a:t>Состав платежей осуществленных через Клиринговую систему расчетов Центрального банка в течение первого квартала 2019 года</a:t>
            </a:r>
            <a:endParaRPr lang="ru-RU" sz="1100"/>
          </a:p>
        </c:rich>
      </c:tx>
      <c:layout>
        <c:manualLayout>
          <c:xMode val="edge"/>
          <c:yMode val="edge"/>
          <c:x val="0.12038262409848818"/>
          <c:y val="1.6653346175205003E-2"/>
        </c:manualLayout>
      </c:layout>
    </c:title>
    <c:view3D>
      <c:rotX val="30"/>
      <c:rotY val="260"/>
      <c:perspective val="30"/>
    </c:view3D>
    <c:plotArea>
      <c:layout>
        <c:manualLayout>
          <c:layoutTarget val="inner"/>
          <c:xMode val="edge"/>
          <c:yMode val="edge"/>
          <c:x val="0.1388888888888889"/>
          <c:y val="0.14995656792900885"/>
          <c:w val="0.7731481481481568"/>
          <c:h val="0.63649575053119856"/>
        </c:manualLayout>
      </c:layout>
      <c:pie3DChart>
        <c:varyColors val="1"/>
        <c:ser>
          <c:idx val="0"/>
          <c:order val="0"/>
          <c:tx>
            <c:strRef>
              <c:f>Лист1!$B$1</c:f>
              <c:strCache>
                <c:ptCount val="1"/>
                <c:pt idx="0">
                  <c:v>состав платежей МУНИС </c:v>
                </c:pt>
              </c:strCache>
            </c:strRef>
          </c:tx>
          <c:explosion val="25"/>
          <c:dLbls>
            <c:dLbl>
              <c:idx val="0"/>
              <c:layout>
                <c:manualLayout>
                  <c:x val="-6.8085447652376813E-2"/>
                  <c:y val="3.0104049493813442E-2"/>
                </c:manualLayout>
              </c:layout>
              <c:tx>
                <c:rich>
                  <a:bodyPr/>
                  <a:lstStyle/>
                  <a:p>
                    <a:r>
                      <a:rPr lang="ru-RU"/>
                      <a:t>Казначейство 27,9%</a:t>
                    </a:r>
                  </a:p>
                </c:rich>
              </c:tx>
              <c:showVal val="1"/>
              <c:showCatName val="1"/>
            </c:dLbl>
            <c:dLbl>
              <c:idx val="1"/>
              <c:layout>
                <c:manualLayout>
                  <c:x val="0.11329505686789162"/>
                  <c:y val="1.8803587051618817E-2"/>
                </c:manualLayout>
              </c:layout>
              <c:tx>
                <c:rich>
                  <a:bodyPr/>
                  <a:lstStyle/>
                  <a:p>
                    <a:r>
                      <a:rPr lang="ru-RU"/>
                      <a:t>Узтрансгаз 19,3%</a:t>
                    </a:r>
                  </a:p>
                </c:rich>
              </c:tx>
              <c:showVal val="1"/>
              <c:showCatName val="1"/>
            </c:dLbl>
            <c:dLbl>
              <c:idx val="2"/>
              <c:layout>
                <c:manualLayout>
                  <c:x val="7.6427165354330823E-3"/>
                  <c:y val="3.506217972753408E-2"/>
                </c:manualLayout>
              </c:layout>
              <c:tx>
                <c:rich>
                  <a:bodyPr/>
                  <a:lstStyle/>
                  <a:p>
                    <a:r>
                      <a:rPr lang="ru-RU"/>
                      <a:t>Узбекэнерго 14,0%</a:t>
                    </a:r>
                  </a:p>
                </c:rich>
              </c:tx>
              <c:showVal val="1"/>
              <c:showCatName val="1"/>
            </c:dLbl>
            <c:dLbl>
              <c:idx val="3"/>
              <c:layout>
                <c:manualLayout>
                  <c:x val="1.3770414114902497E-3"/>
                  <c:y val="-2.8221472315960601E-3"/>
                </c:manualLayout>
              </c:layout>
              <c:tx>
                <c:rich>
                  <a:bodyPr/>
                  <a:lstStyle/>
                  <a:p>
                    <a:r>
                      <a:rPr lang="ru-RU"/>
                      <a:t>Нотариат и ЗАГС 6,6%</a:t>
                    </a:r>
                  </a:p>
                </c:rich>
              </c:tx>
              <c:showVal val="1"/>
              <c:showCatName val="1"/>
            </c:dLbl>
            <c:dLbl>
              <c:idx val="4"/>
              <c:tx>
                <c:rich>
                  <a:bodyPr/>
                  <a:lstStyle/>
                  <a:p>
                    <a:r>
                      <a:rPr lang="ru-RU"/>
                      <a:t>Налоги 5,3%</a:t>
                    </a:r>
                  </a:p>
                </c:rich>
              </c:tx>
              <c:showVal val="1"/>
              <c:showCatName val="1"/>
            </c:dLbl>
            <c:dLbl>
              <c:idx val="5"/>
              <c:layout>
                <c:manualLayout>
                  <c:x val="-2.5148458005249345E-2"/>
                  <c:y val="6.414573178352706E-2"/>
                </c:manualLayout>
              </c:layout>
              <c:tx>
                <c:rich>
                  <a:bodyPr/>
                  <a:lstStyle/>
                  <a:p>
                    <a:r>
                      <a:rPr lang="en-US"/>
                      <a:t>GM</a:t>
                    </a:r>
                    <a:r>
                      <a:rPr lang="ru-RU"/>
                      <a:t> Узбекистан 4,9%</a:t>
                    </a:r>
                  </a:p>
                </c:rich>
              </c:tx>
              <c:showVal val="1"/>
              <c:showCatName val="1"/>
            </c:dLbl>
            <c:dLbl>
              <c:idx val="6"/>
              <c:layout>
                <c:manualLayout>
                  <c:x val="7.1890873681668119E-2"/>
                  <c:y val="5.3057954300333512E-2"/>
                </c:manualLayout>
              </c:layout>
              <c:tx>
                <c:rich>
                  <a:bodyPr/>
                  <a:lstStyle/>
                  <a:p>
                    <a:r>
                      <a:rPr lang="ru-RU"/>
                      <a:t>Штрафы</a:t>
                    </a:r>
                    <a:r>
                      <a:rPr lang="ru-RU" baseline="0"/>
                      <a:t> ГУБДД</a:t>
                    </a:r>
                    <a:r>
                      <a:rPr lang="ru-RU"/>
                      <a:t> 4,8%</a:t>
                    </a:r>
                  </a:p>
                </c:rich>
              </c:tx>
              <c:showVal val="1"/>
              <c:showCatName val="1"/>
            </c:dLbl>
            <c:dLbl>
              <c:idx val="7"/>
              <c:tx>
                <c:rich>
                  <a:bodyPr/>
                  <a:lstStyle/>
                  <a:p>
                    <a:r>
                      <a:rPr lang="ru-RU"/>
                      <a:t>Центры государственных</a:t>
                    </a:r>
                    <a:r>
                      <a:rPr lang="ru-RU" baseline="0"/>
                      <a:t> услуг </a:t>
                    </a:r>
                    <a:r>
                      <a:rPr lang="ru-RU"/>
                      <a:t>3,8%</a:t>
                    </a:r>
                  </a:p>
                </c:rich>
              </c:tx>
              <c:showVal val="1"/>
              <c:showCatName val="1"/>
            </c:dLbl>
            <c:dLbl>
              <c:idx val="8"/>
              <c:layout>
                <c:manualLayout>
                  <c:x val="-6.3456961238747708E-2"/>
                  <c:y val="6.650094183195987E-2"/>
                </c:manualLayout>
              </c:layout>
              <c:tx>
                <c:rich>
                  <a:bodyPr/>
                  <a:lstStyle/>
                  <a:p>
                    <a:r>
                      <a:rPr lang="ru-RU"/>
                      <a:t>Таможенные платежи 3,5%</a:t>
                    </a:r>
                  </a:p>
                </c:rich>
              </c:tx>
              <c:showVal val="1"/>
              <c:showCatName val="1"/>
            </c:dLbl>
            <c:dLbl>
              <c:idx val="9"/>
              <c:layout>
                <c:manualLayout>
                  <c:x val="-2.5672754447360811E-2"/>
                  <c:y val="1.113204599425072E-2"/>
                </c:manualLayout>
              </c:layout>
              <c:tx>
                <c:rich>
                  <a:bodyPr/>
                  <a:lstStyle/>
                  <a:p>
                    <a:r>
                      <a:rPr lang="ru-RU"/>
                      <a:t>Таштеплоэнерго 2,7%</a:t>
                    </a:r>
                  </a:p>
                </c:rich>
              </c:tx>
              <c:showVal val="1"/>
              <c:showCatName val="1"/>
            </c:dLbl>
            <c:dLbl>
              <c:idx val="10"/>
              <c:layout>
                <c:manualLayout>
                  <c:x val="-6.1971511373578286E-2"/>
                  <c:y val="-4.7415010623672038E-2"/>
                </c:manualLayout>
              </c:layout>
              <c:tx>
                <c:rich>
                  <a:bodyPr/>
                  <a:lstStyle/>
                  <a:p>
                    <a:r>
                      <a:rPr lang="ru-RU"/>
                      <a:t>Другие 7,2%</a:t>
                    </a:r>
                  </a:p>
                </c:rich>
              </c:tx>
              <c:showVal val="1"/>
              <c:showCatName val="1"/>
            </c:dLbl>
            <c:showVal val="1"/>
            <c:showCatName val="1"/>
            <c:showLeaderLines val="1"/>
          </c:dLbls>
          <c:cat>
            <c:strRef>
              <c:f>Лист1!$A$2:$A$12</c:f>
              <c:strCache>
                <c:ptCount val="11"/>
                <c:pt idx="0">
                  <c:v>Казначейство</c:v>
                </c:pt>
                <c:pt idx="1">
                  <c:v>Узтрансгаз</c:v>
                </c:pt>
                <c:pt idx="2">
                  <c:v>Узбекэнерго</c:v>
                </c:pt>
                <c:pt idx="3">
                  <c:v>Нотариус и ЗАГС</c:v>
                </c:pt>
                <c:pt idx="4">
                  <c:v>Налоги</c:v>
                </c:pt>
                <c:pt idx="5">
                  <c:v>GM Узбекистан</c:v>
                </c:pt>
                <c:pt idx="6">
                  <c:v>штрафы ГУБДД</c:v>
                </c:pt>
                <c:pt idx="7">
                  <c:v>Агентсва государственных услуг</c:v>
                </c:pt>
                <c:pt idx="8">
                  <c:v>Таможенные платежи</c:v>
                </c:pt>
                <c:pt idx="9">
                  <c:v>Таштеплоэнерго</c:v>
                </c:pt>
                <c:pt idx="10">
                  <c:v>Другие</c:v>
                </c:pt>
              </c:strCache>
            </c:strRef>
          </c:cat>
          <c:val>
            <c:numRef>
              <c:f>Лист1!$B$2:$B$12</c:f>
              <c:numCache>
                <c:formatCode>0.0%</c:formatCode>
                <c:ptCount val="11"/>
                <c:pt idx="0">
                  <c:v>0.27900000000000008</c:v>
                </c:pt>
                <c:pt idx="1">
                  <c:v>0.193</c:v>
                </c:pt>
                <c:pt idx="2">
                  <c:v>0.14000000000000001</c:v>
                </c:pt>
                <c:pt idx="3">
                  <c:v>6.6000000000000003E-2</c:v>
                </c:pt>
                <c:pt idx="4">
                  <c:v>5.3000000000000012E-2</c:v>
                </c:pt>
                <c:pt idx="5">
                  <c:v>4.9000000000000113E-2</c:v>
                </c:pt>
                <c:pt idx="6">
                  <c:v>4.8000000000000001E-2</c:v>
                </c:pt>
                <c:pt idx="7">
                  <c:v>3.7999999999999999E-2</c:v>
                </c:pt>
                <c:pt idx="8">
                  <c:v>3.500000000000001E-2</c:v>
                </c:pt>
                <c:pt idx="9">
                  <c:v>2.7000000000000173E-2</c:v>
                </c:pt>
                <c:pt idx="10">
                  <c:v>7.1999999999999995E-2</c:v>
                </c:pt>
              </c:numCache>
            </c:numRef>
          </c:val>
        </c:ser>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5005978419364246"/>
          <c:y val="0.22380477822795067"/>
          <c:w val="0.63935112277631967"/>
          <c:h val="0.67678397893963271"/>
        </c:manualLayout>
      </c:layout>
      <c:bar3DChart>
        <c:barDir val="col"/>
        <c:grouping val="clustered"/>
        <c:ser>
          <c:idx val="0"/>
          <c:order val="0"/>
          <c:tx>
            <c:strRef>
              <c:f>Лист1!$B$1</c:f>
              <c:strCache>
                <c:ptCount val="1"/>
                <c:pt idx="0">
                  <c:v>Юридические лица и индивидуальные предприниматели</c:v>
                </c:pt>
              </c:strCache>
            </c:strRef>
          </c:tx>
          <c:dLbls>
            <c:dLbl>
              <c:idx val="0"/>
              <c:layout>
                <c:manualLayout>
                  <c:x val="-1.0952953528601778E-2"/>
                  <c:y val="-2.3025711440092047E-2"/>
                </c:manualLayout>
              </c:layout>
              <c:showVal val="1"/>
            </c:dLbl>
            <c:dLbl>
              <c:idx val="1"/>
              <c:layout>
                <c:manualLayout>
                  <c:x val="-8.7623628228814272E-3"/>
                  <c:y val="-2.3025711440092047E-2"/>
                </c:manualLayout>
              </c:layout>
              <c:showVal val="1"/>
            </c:dLbl>
            <c:dLbl>
              <c:idx val="2"/>
              <c:layout>
                <c:manualLayout>
                  <c:x val="-1.3888888888889015E-2"/>
                  <c:y val="-1.5873015873015879E-2"/>
                </c:manualLayout>
              </c:layout>
              <c:showVal val="1"/>
            </c:dLbl>
            <c:showVal val="1"/>
          </c:dLbls>
          <c:cat>
            <c:strRef>
              <c:f>Лист1!$A$2:$A$4</c:f>
              <c:strCache>
                <c:ptCount val="3"/>
                <c:pt idx="0">
                  <c:v>01.04.2017</c:v>
                </c:pt>
                <c:pt idx="1">
                  <c:v>01.04.2018</c:v>
                </c:pt>
                <c:pt idx="2">
                  <c:v>01.04.2019</c:v>
                </c:pt>
              </c:strCache>
            </c:strRef>
          </c:cat>
          <c:val>
            <c:numRef>
              <c:f>Лист1!$B$2:$B$4</c:f>
              <c:numCache>
                <c:formatCode>_-* #,##0_р_._-;\-* #,##0_р_._-;_-* "-"??_р_._-;_-@_-</c:formatCode>
                <c:ptCount val="3"/>
                <c:pt idx="0">
                  <c:v>169288</c:v>
                </c:pt>
                <c:pt idx="1">
                  <c:v>242719</c:v>
                </c:pt>
                <c:pt idx="2">
                  <c:v>498936</c:v>
                </c:pt>
              </c:numCache>
            </c:numRef>
          </c:val>
        </c:ser>
        <c:ser>
          <c:idx val="1"/>
          <c:order val="1"/>
          <c:tx>
            <c:strRef>
              <c:f>Лист1!$C$1</c:f>
              <c:strCache>
                <c:ptCount val="1"/>
                <c:pt idx="0">
                  <c:v>Физические лица</c:v>
                </c:pt>
              </c:strCache>
            </c:strRef>
          </c:tx>
          <c:dLbls>
            <c:dLbl>
              <c:idx val="0"/>
              <c:layout>
                <c:manualLayout>
                  <c:x val="8.7623628228814272E-3"/>
                  <c:y val="-1.1512855720045961E-2"/>
                </c:manualLayout>
              </c:layout>
              <c:showVal val="1"/>
            </c:dLbl>
            <c:dLbl>
              <c:idx val="1"/>
              <c:layout>
                <c:manualLayout>
                  <c:x val="6.5717721171611463E-3"/>
                  <c:y val="-2.3025711440092047E-2"/>
                </c:manualLayout>
              </c:layout>
              <c:showVal val="1"/>
            </c:dLbl>
            <c:dLbl>
              <c:idx val="2"/>
              <c:layout>
                <c:manualLayout>
                  <c:x val="1.0952953528601778E-2"/>
                  <c:y val="-1.1512855720046041E-2"/>
                </c:manualLayout>
              </c:layout>
              <c:showVal val="1"/>
            </c:dLbl>
            <c:showVal val="1"/>
          </c:dLbls>
          <c:cat>
            <c:strRef>
              <c:f>Лист1!$A$2:$A$4</c:f>
              <c:strCache>
                <c:ptCount val="3"/>
                <c:pt idx="0">
                  <c:v>01.04.2017</c:v>
                </c:pt>
                <c:pt idx="1">
                  <c:v>01.04.2018</c:v>
                </c:pt>
                <c:pt idx="2">
                  <c:v>01.04.2019</c:v>
                </c:pt>
              </c:strCache>
            </c:strRef>
          </c:cat>
          <c:val>
            <c:numRef>
              <c:f>Лист1!$C$2:$C$4</c:f>
              <c:numCache>
                <c:formatCode>_-* #,##0_р_._-;\-* #,##0_р_._-;_-* "-"??_р_._-;_-@_-</c:formatCode>
                <c:ptCount val="3"/>
                <c:pt idx="0">
                  <c:v>2999899</c:v>
                </c:pt>
                <c:pt idx="1">
                  <c:v>5768923</c:v>
                </c:pt>
                <c:pt idx="2">
                  <c:v>8872511</c:v>
                </c:pt>
              </c:numCache>
            </c:numRef>
          </c:val>
        </c:ser>
        <c:shape val="cylinder"/>
        <c:axId val="50936832"/>
        <c:axId val="51041024"/>
        <c:axId val="0"/>
      </c:bar3DChart>
      <c:catAx>
        <c:axId val="50936832"/>
        <c:scaling>
          <c:orientation val="minMax"/>
        </c:scaling>
        <c:axPos val="b"/>
        <c:numFmt formatCode="@" sourceLinked="1"/>
        <c:tickLblPos val="nextTo"/>
        <c:crossAx val="51041024"/>
        <c:crosses val="autoZero"/>
        <c:auto val="1"/>
        <c:lblAlgn val="ctr"/>
        <c:lblOffset val="100"/>
      </c:catAx>
      <c:valAx>
        <c:axId val="51041024"/>
        <c:scaling>
          <c:orientation val="minMax"/>
        </c:scaling>
        <c:axPos val="l"/>
        <c:numFmt formatCode="_-* #,##0_р_._-;\-* #,##0_р_._-;_-* &quot;-&quot;??_р_._-;_-@_-" sourceLinked="1"/>
        <c:tickLblPos val="nextTo"/>
        <c:crossAx val="50936832"/>
        <c:crosses val="autoZero"/>
        <c:crossBetween val="between"/>
      </c:valAx>
    </c:plotArea>
    <c:legend>
      <c:legendPos val="r"/>
      <c:layout>
        <c:manualLayout>
          <c:xMode val="edge"/>
          <c:yMode val="edge"/>
          <c:x val="0.77188620036522493"/>
          <c:y val="0.29266372953380831"/>
          <c:w val="0.21422493709813697"/>
          <c:h val="0.55356142982126755"/>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z-Cyrl-UZ" sz="1200" b="1" i="0" u="none" strike="noStrike" baseline="0"/>
              <a:t>Количество банковских карт в обращении в Республике Узбекистан, </a:t>
            </a:r>
            <a:r>
              <a:rPr lang="uz-Cyrl-UZ" sz="1200" b="1" i="1" u="none" strike="noStrike" baseline="0"/>
              <a:t>штук</a:t>
            </a:r>
            <a:endParaRPr lang="ru-RU" sz="1200" i="1"/>
          </a:p>
        </c:rich>
      </c:tx>
      <c:layout>
        <c:manualLayout>
          <c:xMode val="edge"/>
          <c:yMode val="edge"/>
          <c:x val="0.16880313148428372"/>
          <c:y val="4.1059330732909044E-2"/>
        </c:manualLayout>
      </c:layout>
    </c:title>
    <c:plotArea>
      <c:layout>
        <c:manualLayout>
          <c:layoutTarget val="inner"/>
          <c:xMode val="edge"/>
          <c:yMode val="edge"/>
          <c:x val="0.16179589530475358"/>
          <c:y val="0.2528091975982073"/>
          <c:w val="0.64941859766346799"/>
          <c:h val="0.60494241926391423"/>
        </c:manualLayout>
      </c:layout>
      <c:barChart>
        <c:barDir val="col"/>
        <c:grouping val="clustered"/>
        <c:ser>
          <c:idx val="0"/>
          <c:order val="0"/>
          <c:tx>
            <c:strRef>
              <c:f>Лист1!$B$1</c:f>
              <c:strCache>
                <c:ptCount val="1"/>
                <c:pt idx="0">
                  <c:v>Количество банковских карт в обращении</c:v>
                </c:pt>
              </c:strCache>
            </c:strRef>
          </c:tx>
          <c:dLbls>
            <c:showVal val="1"/>
          </c:dLbls>
          <c:cat>
            <c:numRef>
              <c:f>Лист1!$A$2:$A$4</c:f>
              <c:numCache>
                <c:formatCode>General</c:formatCode>
                <c:ptCount val="3"/>
              </c:numCache>
            </c:numRef>
          </c:cat>
          <c:val>
            <c:numRef>
              <c:f>Лист1!$B$2:$B$4</c:f>
              <c:numCache>
                <c:formatCode>_-* #,##0_р_._-;\-* #,##0_р_._-;_-* "-"??_р_._-;_-@_-</c:formatCode>
                <c:ptCount val="3"/>
                <c:pt idx="0">
                  <c:v>20302405</c:v>
                </c:pt>
                <c:pt idx="1">
                  <c:v>18472251</c:v>
                </c:pt>
                <c:pt idx="2">
                  <c:v>18192516</c:v>
                </c:pt>
              </c:numCache>
            </c:numRef>
          </c:val>
        </c:ser>
        <c:axId val="51278208"/>
        <c:axId val="51279744"/>
      </c:barChart>
      <c:catAx>
        <c:axId val="51278208"/>
        <c:scaling>
          <c:orientation val="minMax"/>
        </c:scaling>
        <c:axPos val="b"/>
        <c:numFmt formatCode="General" sourceLinked="1"/>
        <c:tickLblPos val="nextTo"/>
        <c:crossAx val="51279744"/>
        <c:crosses val="autoZero"/>
        <c:auto val="1"/>
        <c:lblAlgn val="ctr"/>
        <c:lblOffset val="100"/>
      </c:catAx>
      <c:valAx>
        <c:axId val="51279744"/>
        <c:scaling>
          <c:orientation val="minMax"/>
        </c:scaling>
        <c:axPos val="l"/>
        <c:numFmt formatCode="_-* #,##0_р_._-;\-* #,##0_р_._-;_-* &quot;-&quot;??_р_._-;_-@_-" sourceLinked="1"/>
        <c:tickLblPos val="nextTo"/>
        <c:crossAx val="51278208"/>
        <c:crosses val="autoZero"/>
        <c:crossBetween val="between"/>
      </c:valAx>
    </c:plotArea>
    <c:legend>
      <c:legendPos val="r"/>
      <c:layout>
        <c:manualLayout>
          <c:xMode val="edge"/>
          <c:yMode val="edge"/>
          <c:x val="0.8019489825686803"/>
          <c:y val="0.35041413088904844"/>
          <c:w val="0.18416215383461126"/>
          <c:h val="0.39391275525644992"/>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200"/>
              <a:t>Количество установленных платежных терминалов </a:t>
            </a:r>
          </a:p>
          <a:p>
            <a:pPr>
              <a:defRPr sz="1400"/>
            </a:pPr>
            <a:r>
              <a:rPr lang="ru-RU" sz="1200"/>
              <a:t>в Республике Узбекистан, </a:t>
            </a:r>
            <a:r>
              <a:rPr lang="ru-RU" sz="1200" i="1"/>
              <a:t>штук</a:t>
            </a:r>
          </a:p>
        </c:rich>
      </c:tx>
    </c:title>
    <c:plotArea>
      <c:layout>
        <c:manualLayout>
          <c:layoutTarget val="inner"/>
          <c:xMode val="edge"/>
          <c:yMode val="edge"/>
          <c:x val="0.1330921916010499"/>
          <c:y val="0.21540682414698378"/>
          <c:w val="0.66979806073240611"/>
          <c:h val="0.61355143107111665"/>
        </c:manualLayout>
      </c:layout>
      <c:barChart>
        <c:barDir val="col"/>
        <c:grouping val="clustered"/>
        <c:ser>
          <c:idx val="0"/>
          <c:order val="0"/>
          <c:tx>
            <c:strRef>
              <c:f>Лист1!$B$1</c:f>
              <c:strCache>
                <c:ptCount val="1"/>
                <c:pt idx="0">
                  <c:v>Количество терминалов</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rgbClr val="4F81BD"/>
              </a:solidFill>
            </a:ln>
            <a:effectLst>
              <a:outerShdw blurRad="50800" dist="50800" dir="5400000" algn="ctr" rotWithShape="0">
                <a:schemeClr val="tx2">
                  <a:lumMod val="60000"/>
                  <a:lumOff val="40000"/>
                </a:schemeClr>
              </a:outerShdw>
            </a:effectLst>
          </c:spPr>
          <c:dLbls>
            <c:dLbl>
              <c:idx val="0"/>
              <c:layout>
                <c:manualLayout>
                  <c:x val="0"/>
                  <c:y val="-2.7777777777778546E-2"/>
                </c:manualLayout>
              </c:layout>
              <c:showVal val="1"/>
            </c:dLbl>
            <c:showVal val="1"/>
          </c:dLbls>
          <c:cat>
            <c:strRef>
              <c:f>Лист1!$A$2:$A$4</c:f>
              <c:strCache>
                <c:ptCount val="3"/>
                <c:pt idx="0">
                  <c:v>Категория 1</c:v>
                </c:pt>
                <c:pt idx="1">
                  <c:v>Категория 2</c:v>
                </c:pt>
                <c:pt idx="2">
                  <c:v>Категория 3</c:v>
                </c:pt>
              </c:strCache>
            </c:strRef>
          </c:cat>
          <c:val>
            <c:numRef>
              <c:f>Лист1!$B$2:$B$4</c:f>
              <c:numCache>
                <c:formatCode>_-* #,##0_р_._-;\-* #,##0_р_._-;_-* "-"??_р_._-;_-@_-</c:formatCode>
                <c:ptCount val="3"/>
                <c:pt idx="0">
                  <c:v>214556</c:v>
                </c:pt>
                <c:pt idx="1">
                  <c:v>238155</c:v>
                </c:pt>
                <c:pt idx="2">
                  <c:v>250200</c:v>
                </c:pt>
              </c:numCache>
            </c:numRef>
          </c:val>
        </c:ser>
        <c:axId val="51357568"/>
        <c:axId val="51359104"/>
      </c:barChart>
      <c:catAx>
        <c:axId val="51357568"/>
        <c:scaling>
          <c:orientation val="minMax"/>
        </c:scaling>
        <c:delete val="1"/>
        <c:axPos val="b"/>
        <c:tickLblPos val="none"/>
        <c:crossAx val="51359104"/>
        <c:crosses val="autoZero"/>
        <c:auto val="1"/>
        <c:lblAlgn val="ctr"/>
        <c:lblOffset val="100"/>
      </c:catAx>
      <c:valAx>
        <c:axId val="51359104"/>
        <c:scaling>
          <c:orientation val="minMax"/>
        </c:scaling>
        <c:axPos val="l"/>
        <c:majorGridlines/>
        <c:numFmt formatCode="_-* #,##0_р_._-;\-* #,##0_р_._-;_-* &quot;-&quot;??_р_._-;_-@_-" sourceLinked="1"/>
        <c:tickLblPos val="nextTo"/>
        <c:crossAx val="51357568"/>
        <c:crosses val="autoZero"/>
        <c:crossBetween val="between"/>
      </c:valAx>
    </c:plotArea>
    <c:legend>
      <c:legendPos val="r"/>
      <c:layout>
        <c:manualLayout>
          <c:xMode val="edge"/>
          <c:yMode val="edge"/>
          <c:x val="0.81512405528448584"/>
          <c:y val="0.43923681563654732"/>
          <c:w val="0.17098717232872945"/>
          <c:h val="0.28549100595852733"/>
        </c:manualLayout>
      </c:layout>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0.09252</cdr:x>
      <cdr:y>0.88401</cdr:y>
    </cdr:from>
    <cdr:to>
      <cdr:x>0.1243</cdr:x>
      <cdr:y>0.92603</cdr:y>
    </cdr:to>
    <cdr:sp macro="" textlink="">
      <cdr:nvSpPr>
        <cdr:cNvPr id="3" name="Прямоугольник 2"/>
        <cdr:cNvSpPr/>
      </cdr:nvSpPr>
      <cdr:spPr>
        <a:xfrm xmlns:a="http://schemas.openxmlformats.org/drawingml/2006/main">
          <a:off x="550534" y="3459696"/>
          <a:ext cx="189096" cy="164451"/>
        </a:xfrm>
        <a:prstGeom xmlns:a="http://schemas.openxmlformats.org/drawingml/2006/main" prst="rect">
          <a:avLst/>
        </a:prstGeom>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0.13578</cdr:x>
      <cdr:y>0.88067</cdr:y>
    </cdr:from>
    <cdr:to>
      <cdr:x>0.48064</cdr:x>
      <cdr:y>0.98505</cdr:y>
    </cdr:to>
    <cdr:sp macro="" textlink="">
      <cdr:nvSpPr>
        <cdr:cNvPr id="5" name="TextBox 4"/>
        <cdr:cNvSpPr txBox="1"/>
      </cdr:nvSpPr>
      <cdr:spPr>
        <a:xfrm xmlns:a="http://schemas.openxmlformats.org/drawingml/2006/main">
          <a:off x="807887" y="3446618"/>
          <a:ext cx="2052008" cy="4085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t>Количество платежных документов,  млн. </a:t>
          </a:r>
          <a:endParaRPr lang="ru-RU" sz="1100"/>
        </a:p>
        <a:p xmlns:a="http://schemas.openxmlformats.org/drawingml/2006/main">
          <a:endParaRPr lang="ru-RU" sz="1100"/>
        </a:p>
      </cdr:txBody>
    </cdr:sp>
  </cdr:relSizeAnchor>
  <cdr:relSizeAnchor xmlns:cdr="http://schemas.openxmlformats.org/drawingml/2006/chartDrawing">
    <cdr:from>
      <cdr:x>0.55611</cdr:x>
      <cdr:y>0.87899</cdr:y>
    </cdr:from>
    <cdr:to>
      <cdr:x>0.93547</cdr:x>
      <cdr:y>0.93109</cdr:y>
    </cdr:to>
    <cdr:sp macro="" textlink="">
      <cdr:nvSpPr>
        <cdr:cNvPr id="6" name="TextBox 1"/>
        <cdr:cNvSpPr txBox="1"/>
      </cdr:nvSpPr>
      <cdr:spPr>
        <a:xfrm xmlns:a="http://schemas.openxmlformats.org/drawingml/2006/main">
          <a:off x="3303530" y="3750329"/>
          <a:ext cx="2253578" cy="2222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800"/>
            <a:t>Сумма платежных документов, трлн. сум</a:t>
          </a:r>
          <a:endParaRPr lang="ru-RU" sz="1100"/>
        </a:p>
        <a:p xmlns:a="http://schemas.openxmlformats.org/drawingml/2006/main">
          <a:endParaRPr lang="ru-RU" sz="800"/>
        </a:p>
        <a:p xmlns:a="http://schemas.openxmlformats.org/drawingml/2006/main">
          <a:endParaRPr lang="ru-RU" sz="800"/>
        </a:p>
      </cdr:txBody>
    </cdr:sp>
  </cdr:relSizeAnchor>
  <cdr:relSizeAnchor xmlns:cdr="http://schemas.openxmlformats.org/drawingml/2006/chartDrawing">
    <cdr:from>
      <cdr:x>0.51386</cdr:x>
      <cdr:y>0.86463</cdr:y>
    </cdr:from>
    <cdr:to>
      <cdr:x>0.55313</cdr:x>
      <cdr:y>0.93869</cdr:y>
    </cdr:to>
    <cdr:sp macro="" textlink="">
      <cdr:nvSpPr>
        <cdr:cNvPr id="7" name="Минус 6"/>
        <cdr:cNvSpPr/>
      </cdr:nvSpPr>
      <cdr:spPr>
        <a:xfrm xmlns:a="http://schemas.openxmlformats.org/drawingml/2006/main">
          <a:off x="3068534" y="3396343"/>
          <a:ext cx="234503" cy="290945"/>
        </a:xfrm>
        <a:prstGeom xmlns:a="http://schemas.openxmlformats.org/drawingml/2006/main" prst="mathMinus">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solidFill>
              <a:schemeClr val="accent2"/>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017D-C5D1-418F-8764-69F30467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1</Pages>
  <Words>2239</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Ashurov</dc:creator>
  <cp:keywords/>
  <dc:description/>
  <cp:lastModifiedBy>admin</cp:lastModifiedBy>
  <cp:revision>579</cp:revision>
  <cp:lastPrinted>2019-04-23T12:17:00Z</cp:lastPrinted>
  <dcterms:created xsi:type="dcterms:W3CDTF">2019-04-16T06:46:00Z</dcterms:created>
  <dcterms:modified xsi:type="dcterms:W3CDTF">2019-05-03T08:55:00Z</dcterms:modified>
</cp:coreProperties>
</file>