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687" w:type="dxa"/>
        <w:jc w:val="center"/>
        <w:tblLayout w:type="fixed"/>
        <w:tblLook w:val="04A0" w:firstRow="1" w:lastRow="0" w:firstColumn="1" w:lastColumn="0" w:noHBand="0" w:noVBand="1"/>
      </w:tblPr>
      <w:tblGrid>
        <w:gridCol w:w="708"/>
        <w:gridCol w:w="4285"/>
        <w:gridCol w:w="6699"/>
        <w:gridCol w:w="2995"/>
      </w:tblGrid>
      <w:tr w:rsidR="002606EE" w:rsidRPr="00A52832" w14:paraId="7A964F62" w14:textId="77777777" w:rsidTr="00AE48DB">
        <w:trPr>
          <w:trHeight w:val="1612"/>
          <w:jc w:val="center"/>
        </w:trPr>
        <w:tc>
          <w:tcPr>
            <w:tcW w:w="708" w:type="dxa"/>
            <w:shd w:val="clear" w:color="auto" w:fill="9CC2E5" w:themeFill="accent1" w:themeFillTint="99"/>
            <w:vAlign w:val="center"/>
          </w:tcPr>
          <w:p w14:paraId="2297E292" w14:textId="65F86B27" w:rsidR="002606EE" w:rsidRPr="00F01D81" w:rsidRDefault="00F01D81" w:rsidP="00311C31">
            <w:pPr>
              <w:jc w:val="center"/>
              <w:rPr>
                <w:rFonts w:ascii="Times New Roman" w:hAnsi="Times New Roman" w:cs="Times New Roman"/>
                <w:b/>
                <w:sz w:val="28"/>
                <w:szCs w:val="28"/>
                <w:lang w:val="en-US"/>
              </w:rPr>
            </w:pPr>
            <w:r>
              <w:rPr>
                <w:rFonts w:ascii="Times New Roman" w:hAnsi="Times New Roman" w:cs="Times New Roman"/>
                <w:b/>
                <w:sz w:val="28"/>
                <w:szCs w:val="28"/>
                <w:lang w:val="en-US"/>
              </w:rPr>
              <w:t>No.</w:t>
            </w:r>
          </w:p>
        </w:tc>
        <w:tc>
          <w:tcPr>
            <w:tcW w:w="4285" w:type="dxa"/>
            <w:shd w:val="clear" w:color="auto" w:fill="9CC2E5" w:themeFill="accent1" w:themeFillTint="99"/>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3465"/>
            </w:tblGrid>
            <w:tr w:rsidR="00463580" w:rsidRPr="00A52832" w14:paraId="36BFFE8D" w14:textId="77777777" w:rsidTr="00AE48DB">
              <w:trPr>
                <w:gridAfter w:val="1"/>
                <w:wAfter w:w="3420" w:type="dxa"/>
                <w:trHeight w:val="348"/>
                <w:tblCellSpacing w:w="15" w:type="dxa"/>
              </w:trPr>
              <w:tc>
                <w:tcPr>
                  <w:tcW w:w="65" w:type="dxa"/>
                  <w:vAlign w:val="center"/>
                  <w:hideMark/>
                </w:tcPr>
                <w:p w14:paraId="0F8D31E6" w14:textId="77777777" w:rsidR="00463580" w:rsidRPr="00A52832" w:rsidRDefault="00463580" w:rsidP="00463580">
                  <w:pPr>
                    <w:spacing w:after="0" w:line="240" w:lineRule="auto"/>
                    <w:jc w:val="center"/>
                    <w:rPr>
                      <w:rFonts w:ascii="Times New Roman" w:hAnsi="Times New Roman" w:cs="Times New Roman"/>
                      <w:b/>
                      <w:sz w:val="32"/>
                      <w:szCs w:val="32"/>
                      <w:lang w:val="uz-Cyrl-UZ"/>
                    </w:rPr>
                  </w:pPr>
                </w:p>
              </w:tc>
            </w:tr>
            <w:tr w:rsidR="00463580" w:rsidRPr="00A52832" w14:paraId="4F3A9565" w14:textId="77777777" w:rsidTr="00DE3FB4">
              <w:trPr>
                <w:trHeight w:val="704"/>
                <w:tblCellSpacing w:w="15" w:type="dxa"/>
              </w:trPr>
              <w:tc>
                <w:tcPr>
                  <w:tcW w:w="3515" w:type="dxa"/>
                  <w:gridSpan w:val="2"/>
                  <w:vAlign w:val="center"/>
                  <w:hideMark/>
                </w:tcPr>
                <w:p w14:paraId="3C922FA5" w14:textId="675684E5" w:rsidR="00463580" w:rsidRPr="00A52832" w:rsidRDefault="000B1317" w:rsidP="00463580">
                  <w:pPr>
                    <w:spacing w:after="0" w:line="240" w:lineRule="auto"/>
                    <w:jc w:val="center"/>
                    <w:rPr>
                      <w:rFonts w:ascii="Times New Roman" w:hAnsi="Times New Roman" w:cs="Times New Roman"/>
                      <w:b/>
                      <w:bCs/>
                      <w:sz w:val="32"/>
                      <w:szCs w:val="32"/>
                      <w:lang w:val="uz-Cyrl-UZ"/>
                    </w:rPr>
                  </w:pPr>
                  <w:r w:rsidRPr="000B1317">
                    <w:rPr>
                      <w:rFonts w:ascii="Times New Roman" w:hAnsi="Times New Roman" w:cs="Times New Roman"/>
                      <w:b/>
                      <w:bCs/>
                      <w:sz w:val="32"/>
                      <w:szCs w:val="32"/>
                      <w:lang w:val="uz-Cyrl-UZ"/>
                    </w:rPr>
                    <w:t>Name of International Organization</w:t>
                  </w:r>
                </w:p>
              </w:tc>
            </w:tr>
          </w:tbl>
          <w:p w14:paraId="37DBC6DE" w14:textId="29DA8C20" w:rsidR="002606EE" w:rsidRPr="00AE48DB" w:rsidRDefault="002606EE" w:rsidP="00311C31">
            <w:pPr>
              <w:jc w:val="center"/>
              <w:rPr>
                <w:rFonts w:ascii="Times New Roman" w:hAnsi="Times New Roman" w:cs="Times New Roman"/>
                <w:b/>
                <w:sz w:val="32"/>
                <w:szCs w:val="32"/>
                <w:lang w:val="en-US"/>
              </w:rPr>
            </w:pPr>
          </w:p>
        </w:tc>
        <w:tc>
          <w:tcPr>
            <w:tcW w:w="6699" w:type="dxa"/>
            <w:shd w:val="clear" w:color="auto" w:fill="9CC2E5" w:themeFill="accent1" w:themeFillTint="99"/>
            <w:vAlign w:val="center"/>
          </w:tcPr>
          <w:p w14:paraId="05690599" w14:textId="57AD5C1C" w:rsidR="002606EE" w:rsidRPr="00A52832" w:rsidRDefault="000B1317" w:rsidP="00AE48DB">
            <w:pPr>
              <w:jc w:val="center"/>
              <w:rPr>
                <w:rFonts w:ascii="Times New Roman" w:hAnsi="Times New Roman" w:cs="Times New Roman"/>
                <w:b/>
                <w:sz w:val="32"/>
                <w:szCs w:val="32"/>
                <w:lang w:val="uz-Cyrl-UZ"/>
              </w:rPr>
            </w:pPr>
            <w:r w:rsidRPr="000B1317">
              <w:rPr>
                <w:rFonts w:ascii="Times New Roman" w:hAnsi="Times New Roman" w:cs="Times New Roman"/>
                <w:b/>
                <w:sz w:val="32"/>
                <w:szCs w:val="32"/>
                <w:lang w:val="uz-Cyrl-UZ"/>
              </w:rPr>
              <w:t>Purpose of Activity</w:t>
            </w:r>
          </w:p>
        </w:tc>
        <w:tc>
          <w:tcPr>
            <w:tcW w:w="2995" w:type="dxa"/>
            <w:shd w:val="clear" w:color="auto" w:fill="9CC2E5" w:themeFill="accent1" w:themeFillTint="99"/>
            <w:vAlign w:val="center"/>
          </w:tcPr>
          <w:p w14:paraId="447C9614" w14:textId="612E087D" w:rsidR="002606EE" w:rsidRPr="00A52832" w:rsidRDefault="000B1317" w:rsidP="00311C31">
            <w:pPr>
              <w:jc w:val="center"/>
              <w:rPr>
                <w:rFonts w:ascii="Times New Roman" w:hAnsi="Times New Roman" w:cs="Times New Roman"/>
                <w:b/>
                <w:sz w:val="32"/>
                <w:szCs w:val="32"/>
                <w:lang w:val="uz-Cyrl-UZ"/>
              </w:rPr>
            </w:pPr>
            <w:r w:rsidRPr="000B1317">
              <w:rPr>
                <w:rFonts w:ascii="Times New Roman" w:hAnsi="Times New Roman" w:cs="Times New Roman"/>
                <w:b/>
                <w:sz w:val="32"/>
                <w:szCs w:val="32"/>
                <w:lang w:val="uz-Cyrl-UZ"/>
              </w:rPr>
              <w:t>Date Central Bank Joined</w:t>
            </w:r>
          </w:p>
        </w:tc>
      </w:tr>
      <w:tr w:rsidR="002606EE" w:rsidRPr="00A52832" w14:paraId="224A3BBC" w14:textId="77777777" w:rsidTr="00AE48DB">
        <w:trPr>
          <w:trHeight w:val="3648"/>
          <w:jc w:val="center"/>
        </w:trPr>
        <w:tc>
          <w:tcPr>
            <w:tcW w:w="708" w:type="dxa"/>
            <w:vAlign w:val="center"/>
          </w:tcPr>
          <w:p w14:paraId="737065CC" w14:textId="77777777" w:rsidR="002606EE" w:rsidRPr="00A52832" w:rsidRDefault="002606EE" w:rsidP="00311C31">
            <w:pPr>
              <w:pStyle w:val="Default"/>
              <w:jc w:val="center"/>
              <w:rPr>
                <w:sz w:val="28"/>
                <w:szCs w:val="28"/>
                <w:lang w:val="uz-Cyrl-UZ"/>
              </w:rPr>
            </w:pPr>
            <w:r w:rsidRPr="00A52832">
              <w:rPr>
                <w:sz w:val="28"/>
                <w:szCs w:val="28"/>
                <w:lang w:val="uz-Cyrl-UZ"/>
              </w:rPr>
              <w:t>1.</w:t>
            </w:r>
          </w:p>
        </w:tc>
        <w:tc>
          <w:tcPr>
            <w:tcW w:w="4285" w:type="dxa"/>
            <w:vAlign w:val="center"/>
          </w:tcPr>
          <w:p w14:paraId="39FE4569" w14:textId="7A28DB6D" w:rsidR="002606EE" w:rsidRPr="00A52832" w:rsidRDefault="000B1317" w:rsidP="00311C31">
            <w:pPr>
              <w:pStyle w:val="Default"/>
              <w:jc w:val="center"/>
              <w:rPr>
                <w:sz w:val="28"/>
                <w:szCs w:val="28"/>
                <w:lang w:val="uz-Cyrl-UZ"/>
              </w:rPr>
            </w:pPr>
            <w:r w:rsidRPr="000B1317">
              <w:rPr>
                <w:sz w:val="28"/>
                <w:szCs w:val="28"/>
                <w:lang w:val="uz-Cyrl-UZ"/>
              </w:rPr>
              <w:t>Alliance for Financial Inclusion (AFI)</w:t>
            </w:r>
          </w:p>
        </w:tc>
        <w:tc>
          <w:tcPr>
            <w:tcW w:w="6699" w:type="dxa"/>
            <w:vAlign w:val="center"/>
          </w:tcPr>
          <w:p w14:paraId="6AB9A230" w14:textId="27D5E4CF" w:rsidR="002606EE" w:rsidRPr="00A52832"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sz w:val="28"/>
                <w:szCs w:val="28"/>
                <w:lang w:val="uz-Cyrl-UZ"/>
              </w:rPr>
              <w:t>A global organization of financial regulators aimed at expanding access to financial services, improving their quality, and enhancing people’s financial well-being. AFI helps its members exchange knowledge, innovative tools, and best practices to create sustainable solutions in financial inclusion and supports the achievement of sustainable development goals.</w:t>
            </w:r>
          </w:p>
        </w:tc>
        <w:tc>
          <w:tcPr>
            <w:tcW w:w="2995" w:type="dxa"/>
            <w:vAlign w:val="center"/>
          </w:tcPr>
          <w:p w14:paraId="6E8FEB7E" w14:textId="29C5DF98"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17 August 2018</w:t>
            </w:r>
          </w:p>
        </w:tc>
      </w:tr>
      <w:tr w:rsidR="002606EE" w:rsidRPr="00A52832" w14:paraId="0268405F" w14:textId="77777777" w:rsidTr="00AE48DB">
        <w:trPr>
          <w:trHeight w:val="801"/>
          <w:jc w:val="center"/>
        </w:trPr>
        <w:tc>
          <w:tcPr>
            <w:tcW w:w="708" w:type="dxa"/>
            <w:vAlign w:val="center"/>
          </w:tcPr>
          <w:p w14:paraId="14E2519F"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2.</w:t>
            </w:r>
          </w:p>
        </w:tc>
        <w:tc>
          <w:tcPr>
            <w:tcW w:w="4285" w:type="dxa"/>
            <w:vAlign w:val="center"/>
          </w:tcPr>
          <w:p w14:paraId="49620EB0" w14:textId="134EAB13" w:rsidR="002606EE" w:rsidRPr="00A52832" w:rsidRDefault="000B1317" w:rsidP="00311C31">
            <w:pPr>
              <w:jc w:val="center"/>
              <w:rPr>
                <w:rFonts w:ascii="Times New Roman" w:hAnsi="Times New Roman" w:cs="Times New Roman"/>
                <w:sz w:val="28"/>
                <w:szCs w:val="28"/>
                <w:lang w:val="uz-Cyrl-UZ"/>
              </w:rPr>
            </w:pPr>
            <w:r>
              <w:rPr>
                <w:rFonts w:ascii="Times New Roman" w:hAnsi="Times New Roman" w:cs="Times New Roman"/>
                <w:sz w:val="28"/>
                <w:szCs w:val="28"/>
                <w:lang w:val="en-US"/>
              </w:rPr>
              <w:t>Network for Greening the Financial System (NGFS)</w:t>
            </w:r>
          </w:p>
        </w:tc>
        <w:tc>
          <w:tcPr>
            <w:tcW w:w="6699" w:type="dxa"/>
            <w:vAlign w:val="center"/>
          </w:tcPr>
          <w:p w14:paraId="51DA4C2E" w14:textId="76AA9DBF" w:rsidR="003848E4" w:rsidRPr="006900EC"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iCs/>
                <w:sz w:val="28"/>
                <w:szCs w:val="28"/>
                <w:lang w:val="uz-Cyrl-UZ"/>
              </w:rPr>
              <w:t>A voluntary network of central banks and supervisory authorities focused on developing environmental and climate risk management in the financial sector and supporting the transition of key financial resources to a sustainable economy.</w:t>
            </w:r>
          </w:p>
        </w:tc>
        <w:tc>
          <w:tcPr>
            <w:tcW w:w="2995" w:type="dxa"/>
            <w:vAlign w:val="center"/>
          </w:tcPr>
          <w:p w14:paraId="3EA95D2C" w14:textId="72BE576B"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3 October 2022</w:t>
            </w:r>
          </w:p>
        </w:tc>
      </w:tr>
      <w:tr w:rsidR="002606EE" w:rsidRPr="00A52832" w14:paraId="5D77B1DA" w14:textId="77777777" w:rsidTr="00AE48DB">
        <w:trPr>
          <w:trHeight w:val="2965"/>
          <w:jc w:val="center"/>
        </w:trPr>
        <w:tc>
          <w:tcPr>
            <w:tcW w:w="708" w:type="dxa"/>
            <w:vAlign w:val="center"/>
          </w:tcPr>
          <w:p w14:paraId="747A38C0"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3.</w:t>
            </w:r>
          </w:p>
        </w:tc>
        <w:tc>
          <w:tcPr>
            <w:tcW w:w="4285" w:type="dxa"/>
            <w:vAlign w:val="center"/>
          </w:tcPr>
          <w:p w14:paraId="0FE01F75" w14:textId="28DBAFFC"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International Financial Consumer Protection Organization (FinCoNet)</w:t>
            </w:r>
          </w:p>
        </w:tc>
        <w:tc>
          <w:tcPr>
            <w:tcW w:w="6699" w:type="dxa"/>
            <w:vAlign w:val="center"/>
          </w:tcPr>
          <w:p w14:paraId="24237FBB" w14:textId="4EE3AE95" w:rsidR="002606EE" w:rsidRPr="00A52832"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sz w:val="28"/>
                <w:szCs w:val="28"/>
                <w:lang w:val="uz-Cyrl-UZ"/>
              </w:rPr>
              <w:t>Promotes cooperation among regulators of member countries in protecting financial consumers’ rights, facilitates experience sharing, disseminates achievements, and encourages the implementation of effective supervisory frameworks. Also publishes conclusions and recommendations based on research and studies.</w:t>
            </w:r>
          </w:p>
        </w:tc>
        <w:tc>
          <w:tcPr>
            <w:tcW w:w="2995" w:type="dxa"/>
            <w:vAlign w:val="center"/>
          </w:tcPr>
          <w:p w14:paraId="00E7F391" w14:textId="6D01FCF4"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12 February 2024</w:t>
            </w:r>
          </w:p>
        </w:tc>
      </w:tr>
      <w:tr w:rsidR="002606EE" w:rsidRPr="00A52832" w14:paraId="0F8619B8" w14:textId="77777777" w:rsidTr="00AE48DB">
        <w:trPr>
          <w:trHeight w:val="2963"/>
          <w:jc w:val="center"/>
        </w:trPr>
        <w:tc>
          <w:tcPr>
            <w:tcW w:w="708" w:type="dxa"/>
            <w:vAlign w:val="center"/>
          </w:tcPr>
          <w:p w14:paraId="53EEF088"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lastRenderedPageBreak/>
              <w:t>4.</w:t>
            </w:r>
          </w:p>
        </w:tc>
        <w:tc>
          <w:tcPr>
            <w:tcW w:w="4285" w:type="dxa"/>
            <w:vAlign w:val="center"/>
          </w:tcPr>
          <w:p w14:paraId="06F9B517" w14:textId="77777777" w:rsidR="000B1317"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 xml:space="preserve">Basel Consultative Group </w:t>
            </w:r>
          </w:p>
          <w:p w14:paraId="108E6BC6" w14:textId="64C2245B"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(BCBS)</w:t>
            </w:r>
          </w:p>
        </w:tc>
        <w:tc>
          <w:tcPr>
            <w:tcW w:w="6699" w:type="dxa"/>
            <w:vAlign w:val="center"/>
          </w:tcPr>
          <w:p w14:paraId="3DC22993" w14:textId="4C34ABA2" w:rsidR="000425F2" w:rsidRPr="002D62E1"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sz w:val="28"/>
                <w:szCs w:val="28"/>
                <w:lang w:val="uz-Cyrl-UZ"/>
              </w:rPr>
              <w:t>Serves as a platform to deepen cooperation in banking supervision between the Basel Committee and supervisory authorities worldwide. Engages representatives from non-BCBS member countries, international organizations, and regional banking supervisors to discuss new initiatives and provide a broad dialogue forum.</w:t>
            </w:r>
          </w:p>
        </w:tc>
        <w:tc>
          <w:tcPr>
            <w:tcW w:w="2995" w:type="dxa"/>
            <w:vAlign w:val="center"/>
          </w:tcPr>
          <w:p w14:paraId="5CC1BD40" w14:textId="0E9A8F6E"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8 October 2024</w:t>
            </w:r>
          </w:p>
        </w:tc>
      </w:tr>
      <w:tr w:rsidR="002606EE" w:rsidRPr="00A52832" w14:paraId="21BBDD76" w14:textId="77777777" w:rsidTr="00AE48DB">
        <w:trPr>
          <w:trHeight w:val="1761"/>
          <w:jc w:val="center"/>
        </w:trPr>
        <w:tc>
          <w:tcPr>
            <w:tcW w:w="708" w:type="dxa"/>
            <w:vAlign w:val="center"/>
          </w:tcPr>
          <w:p w14:paraId="269556AD"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5.</w:t>
            </w:r>
          </w:p>
        </w:tc>
        <w:tc>
          <w:tcPr>
            <w:tcW w:w="4285" w:type="dxa"/>
            <w:vAlign w:val="center"/>
          </w:tcPr>
          <w:p w14:paraId="6CA52508" w14:textId="777B0A19" w:rsidR="002606EE" w:rsidRPr="000B1317" w:rsidRDefault="000B1317" w:rsidP="000425F2">
            <w:pPr>
              <w:jc w:val="center"/>
              <w:rPr>
                <w:rFonts w:ascii="Times New Roman" w:hAnsi="Times New Roman" w:cs="Times New Roman"/>
                <w:sz w:val="28"/>
                <w:szCs w:val="28"/>
                <w:lang w:val="uz-Cyrl-UZ"/>
              </w:rPr>
            </w:pPr>
            <w:r>
              <w:rPr>
                <w:rFonts w:ascii="Times New Roman" w:hAnsi="Times New Roman" w:cs="Times New Roman"/>
                <w:sz w:val="28"/>
                <w:szCs w:val="28"/>
                <w:lang w:val="en-US"/>
              </w:rPr>
              <w:t xml:space="preserve">Organization of Islamic Cooperation – Computer Emergency Response Team </w:t>
            </w:r>
            <w:r w:rsidR="0084779F">
              <w:rPr>
                <w:rFonts w:ascii="Times New Roman" w:hAnsi="Times New Roman" w:cs="Times New Roman"/>
                <w:sz w:val="28"/>
                <w:szCs w:val="28"/>
                <w:lang w:val="en-US"/>
              </w:rPr>
              <w:br/>
            </w:r>
            <w:r>
              <w:rPr>
                <w:rFonts w:ascii="Times New Roman" w:hAnsi="Times New Roman" w:cs="Times New Roman"/>
                <w:sz w:val="28"/>
                <w:szCs w:val="28"/>
                <w:lang w:val="en-US"/>
              </w:rPr>
              <w:t>(OIC-CERT)</w:t>
            </w:r>
          </w:p>
        </w:tc>
        <w:tc>
          <w:tcPr>
            <w:tcW w:w="6699" w:type="dxa"/>
            <w:vAlign w:val="center"/>
          </w:tcPr>
          <w:p w14:paraId="604DB1EA" w14:textId="0758A927" w:rsidR="00A21C35" w:rsidRPr="006900EC"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sz w:val="28"/>
                <w:szCs w:val="28"/>
                <w:lang w:val="uz-Cyrl-UZ"/>
              </w:rPr>
              <w:t>Provides assistance to member organizations in the event of cyberattacks and supports collaborative work on new solutions in cybersecurity.</w:t>
            </w:r>
          </w:p>
        </w:tc>
        <w:tc>
          <w:tcPr>
            <w:tcW w:w="2995" w:type="dxa"/>
            <w:vAlign w:val="center"/>
          </w:tcPr>
          <w:p w14:paraId="1FAF4377" w14:textId="1EFBCCC0" w:rsidR="002606EE" w:rsidRPr="006900EC"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15 October 2024</w:t>
            </w:r>
          </w:p>
        </w:tc>
      </w:tr>
      <w:tr w:rsidR="002606EE" w:rsidRPr="00A52832" w14:paraId="25896C4A" w14:textId="77777777" w:rsidTr="00AE48DB">
        <w:trPr>
          <w:trHeight w:val="2115"/>
          <w:jc w:val="center"/>
        </w:trPr>
        <w:tc>
          <w:tcPr>
            <w:tcW w:w="708" w:type="dxa"/>
            <w:vAlign w:val="center"/>
          </w:tcPr>
          <w:p w14:paraId="3F2BB84E"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6.</w:t>
            </w:r>
          </w:p>
        </w:tc>
        <w:tc>
          <w:tcPr>
            <w:tcW w:w="4285"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3745"/>
            </w:tblGrid>
            <w:tr w:rsidR="000A47D8" w:rsidRPr="00A52832" w14:paraId="18406387" w14:textId="77777777" w:rsidTr="00AE48DB">
              <w:trPr>
                <w:gridAfter w:val="1"/>
                <w:wAfter w:w="3700" w:type="dxa"/>
                <w:trHeight w:val="137"/>
                <w:tblCellSpacing w:w="15" w:type="dxa"/>
              </w:trPr>
              <w:tc>
                <w:tcPr>
                  <w:tcW w:w="65" w:type="dxa"/>
                  <w:vAlign w:val="center"/>
                  <w:hideMark/>
                </w:tcPr>
                <w:p w14:paraId="61586C52" w14:textId="77777777" w:rsidR="000A47D8" w:rsidRPr="00A52832" w:rsidRDefault="000A47D8" w:rsidP="000A47D8">
                  <w:pPr>
                    <w:spacing w:after="0" w:line="240" w:lineRule="auto"/>
                    <w:jc w:val="center"/>
                    <w:rPr>
                      <w:rFonts w:ascii="Times New Roman" w:hAnsi="Times New Roman" w:cs="Times New Roman"/>
                      <w:sz w:val="28"/>
                      <w:szCs w:val="28"/>
                      <w:lang w:val="uz-Cyrl-UZ"/>
                    </w:rPr>
                  </w:pPr>
                </w:p>
              </w:tc>
            </w:tr>
            <w:tr w:rsidR="000A47D8" w:rsidRPr="00F01D81" w14:paraId="23582C5E" w14:textId="77777777" w:rsidTr="005005B2">
              <w:trPr>
                <w:trHeight w:val="137"/>
                <w:tblCellSpacing w:w="15" w:type="dxa"/>
              </w:trPr>
              <w:tc>
                <w:tcPr>
                  <w:tcW w:w="3795" w:type="dxa"/>
                  <w:gridSpan w:val="2"/>
                  <w:vAlign w:val="center"/>
                  <w:hideMark/>
                </w:tcPr>
                <w:p w14:paraId="4B660199" w14:textId="23ED82E6" w:rsidR="000A47D8" w:rsidRPr="00A52832" w:rsidRDefault="000B1317" w:rsidP="000A47D8">
                  <w:pPr>
                    <w:spacing w:after="0"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en-US"/>
                    </w:rPr>
                    <w:t>Anti-Phishing Working Group (APWG)</w:t>
                  </w:r>
                </w:p>
              </w:tc>
            </w:tr>
          </w:tbl>
          <w:p w14:paraId="0B4A6A45" w14:textId="524A8E82" w:rsidR="002606EE" w:rsidRPr="00A52832" w:rsidRDefault="002606EE" w:rsidP="00311C31">
            <w:pPr>
              <w:jc w:val="center"/>
              <w:rPr>
                <w:rFonts w:ascii="Times New Roman" w:hAnsi="Times New Roman" w:cs="Times New Roman"/>
                <w:sz w:val="28"/>
                <w:szCs w:val="28"/>
                <w:lang w:val="uz-Cyrl-UZ"/>
              </w:rPr>
            </w:pPr>
          </w:p>
        </w:tc>
        <w:tc>
          <w:tcPr>
            <w:tcW w:w="6699" w:type="dxa"/>
            <w:vAlign w:val="center"/>
          </w:tcPr>
          <w:p w14:paraId="43FE8766" w14:textId="32C116EE" w:rsidR="00311C31" w:rsidRPr="00A52832"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sz w:val="28"/>
                <w:szCs w:val="28"/>
                <w:lang w:val="uz-Cyrl-UZ"/>
              </w:rPr>
              <w:t>An organization combating phishing, email breaches, data theft via malware, and fraudulent activities on the internet.</w:t>
            </w:r>
          </w:p>
        </w:tc>
        <w:tc>
          <w:tcPr>
            <w:tcW w:w="2995" w:type="dxa"/>
            <w:vAlign w:val="center"/>
          </w:tcPr>
          <w:p w14:paraId="169D2461" w14:textId="41F2B869"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20 December 2024</w:t>
            </w:r>
          </w:p>
        </w:tc>
      </w:tr>
      <w:tr w:rsidR="002606EE" w:rsidRPr="00A52832" w14:paraId="18B7D2F6" w14:textId="77777777" w:rsidTr="00AE48DB">
        <w:trPr>
          <w:trHeight w:val="2558"/>
          <w:jc w:val="center"/>
        </w:trPr>
        <w:tc>
          <w:tcPr>
            <w:tcW w:w="708" w:type="dxa"/>
            <w:vAlign w:val="center"/>
          </w:tcPr>
          <w:p w14:paraId="240C1E90"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7.</w:t>
            </w:r>
          </w:p>
        </w:tc>
        <w:tc>
          <w:tcPr>
            <w:tcW w:w="4285" w:type="dxa"/>
            <w:vAlign w:val="center"/>
          </w:tcPr>
          <w:p w14:paraId="7FFD3F51" w14:textId="3EBC7F10" w:rsidR="002606EE" w:rsidRPr="00A52832" w:rsidRDefault="000B1317" w:rsidP="00311C31">
            <w:pPr>
              <w:jc w:val="center"/>
              <w:rPr>
                <w:rFonts w:ascii="Times New Roman" w:hAnsi="Times New Roman" w:cs="Times New Roman"/>
                <w:sz w:val="28"/>
                <w:szCs w:val="28"/>
                <w:lang w:val="uz-Cyrl-UZ"/>
              </w:rPr>
            </w:pPr>
            <w:r>
              <w:rPr>
                <w:rFonts w:ascii="Times New Roman" w:hAnsi="Times New Roman" w:cs="Times New Roman"/>
                <w:sz w:val="28"/>
                <w:szCs w:val="28"/>
                <w:lang w:val="en-US"/>
              </w:rPr>
              <w:t>Islamic Financial Services Board (IFSB)</w:t>
            </w:r>
          </w:p>
        </w:tc>
        <w:tc>
          <w:tcPr>
            <w:tcW w:w="6699" w:type="dxa"/>
            <w:vAlign w:val="center"/>
          </w:tcPr>
          <w:p w14:paraId="267E6CE4" w14:textId="17419930" w:rsidR="00311C31" w:rsidRPr="00A52832"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sz w:val="28"/>
                <w:szCs w:val="28"/>
                <w:lang w:val="uz-Cyrl-UZ"/>
              </w:rPr>
              <w:t>Develops international standards for regulating and supervising Islamic financial institutions, implements effective corporate governance and risk management frameworks, builds human capital in the sector, conducts research, and provides technical assistance to member institutions.</w:t>
            </w:r>
          </w:p>
        </w:tc>
        <w:tc>
          <w:tcPr>
            <w:tcW w:w="2995" w:type="dxa"/>
            <w:vAlign w:val="center"/>
          </w:tcPr>
          <w:p w14:paraId="5B243FFE" w14:textId="512C8C08"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23 December 2024</w:t>
            </w:r>
          </w:p>
        </w:tc>
      </w:tr>
      <w:tr w:rsidR="002606EE" w:rsidRPr="00A52832" w14:paraId="2B96A3CA" w14:textId="77777777" w:rsidTr="00AE48DB">
        <w:trPr>
          <w:trHeight w:val="1755"/>
          <w:jc w:val="center"/>
        </w:trPr>
        <w:tc>
          <w:tcPr>
            <w:tcW w:w="708" w:type="dxa"/>
            <w:vAlign w:val="center"/>
          </w:tcPr>
          <w:p w14:paraId="5F24D91E" w14:textId="77777777" w:rsidR="002606EE" w:rsidRPr="00A52832" w:rsidRDefault="002606EE" w:rsidP="00311C3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lastRenderedPageBreak/>
              <w:t>8.</w:t>
            </w:r>
          </w:p>
        </w:tc>
        <w:tc>
          <w:tcPr>
            <w:tcW w:w="4285" w:type="dxa"/>
            <w:vAlign w:val="center"/>
          </w:tcPr>
          <w:p w14:paraId="23AA451E" w14:textId="7F3ECA27"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International Operational Risk Working Group (IORWG)</w:t>
            </w:r>
          </w:p>
        </w:tc>
        <w:tc>
          <w:tcPr>
            <w:tcW w:w="6699" w:type="dxa"/>
            <w:vAlign w:val="center"/>
          </w:tcPr>
          <w:p w14:paraId="1004878F" w14:textId="03CC9798" w:rsidR="002606EE" w:rsidRPr="00A52832" w:rsidRDefault="000B1317" w:rsidP="00AE48DB">
            <w:pPr>
              <w:jc w:val="both"/>
              <w:rPr>
                <w:rFonts w:ascii="Times New Roman" w:hAnsi="Times New Roman" w:cs="Times New Roman"/>
                <w:sz w:val="28"/>
                <w:szCs w:val="28"/>
                <w:lang w:val="uz-Cyrl-UZ"/>
              </w:rPr>
            </w:pPr>
            <w:r w:rsidRPr="000B1317">
              <w:rPr>
                <w:rFonts w:ascii="Times New Roman" w:hAnsi="Times New Roman" w:cs="Times New Roman"/>
                <w:sz w:val="28"/>
                <w:szCs w:val="28"/>
                <w:lang w:val="uz-Cyrl-UZ"/>
              </w:rPr>
              <w:t>A platform for central banks to develop risk profiles and promote best practices in operational risk management.</w:t>
            </w:r>
          </w:p>
        </w:tc>
        <w:tc>
          <w:tcPr>
            <w:tcW w:w="2995" w:type="dxa"/>
            <w:vAlign w:val="center"/>
          </w:tcPr>
          <w:p w14:paraId="18D12C21" w14:textId="187DC8B6" w:rsidR="002606EE" w:rsidRPr="00A52832" w:rsidRDefault="000B1317" w:rsidP="00311C31">
            <w:pPr>
              <w:jc w:val="center"/>
              <w:rPr>
                <w:rFonts w:ascii="Times New Roman" w:hAnsi="Times New Roman" w:cs="Times New Roman"/>
                <w:sz w:val="28"/>
                <w:szCs w:val="28"/>
                <w:lang w:val="uz-Cyrl-UZ"/>
              </w:rPr>
            </w:pPr>
            <w:r w:rsidRPr="000B1317">
              <w:rPr>
                <w:rFonts w:ascii="Times New Roman" w:hAnsi="Times New Roman" w:cs="Times New Roman"/>
                <w:sz w:val="28"/>
                <w:szCs w:val="28"/>
                <w:lang w:val="uz-Cyrl-UZ"/>
              </w:rPr>
              <w:t>25 December 2024</w:t>
            </w:r>
          </w:p>
        </w:tc>
      </w:tr>
    </w:tbl>
    <w:p w14:paraId="4D163FE5" w14:textId="77777777" w:rsidR="0074483D" w:rsidRPr="00AE48DB" w:rsidRDefault="0074483D" w:rsidP="00AE48DB">
      <w:pPr>
        <w:rPr>
          <w:rFonts w:ascii="Times New Roman" w:hAnsi="Times New Roman" w:cs="Times New Roman"/>
          <w:sz w:val="28"/>
          <w:szCs w:val="28"/>
          <w:lang w:val="en-US"/>
        </w:rPr>
      </w:pPr>
    </w:p>
    <w:sectPr w:rsidR="0074483D" w:rsidRPr="00AE48DB" w:rsidSect="00C46D71">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49"/>
    <w:rsid w:val="00017A03"/>
    <w:rsid w:val="000425F2"/>
    <w:rsid w:val="00074934"/>
    <w:rsid w:val="000A47D8"/>
    <w:rsid w:val="000B1317"/>
    <w:rsid w:val="001C2492"/>
    <w:rsid w:val="002176C0"/>
    <w:rsid w:val="002606EE"/>
    <w:rsid w:val="00277A49"/>
    <w:rsid w:val="002D62E1"/>
    <w:rsid w:val="00311C31"/>
    <w:rsid w:val="00326938"/>
    <w:rsid w:val="00344A90"/>
    <w:rsid w:val="0036392B"/>
    <w:rsid w:val="00373CFD"/>
    <w:rsid w:val="003848E4"/>
    <w:rsid w:val="003C5B9A"/>
    <w:rsid w:val="003C7623"/>
    <w:rsid w:val="003D2777"/>
    <w:rsid w:val="00463580"/>
    <w:rsid w:val="005005B2"/>
    <w:rsid w:val="005614F9"/>
    <w:rsid w:val="005D009D"/>
    <w:rsid w:val="006058D6"/>
    <w:rsid w:val="006149F3"/>
    <w:rsid w:val="0064314A"/>
    <w:rsid w:val="006900EC"/>
    <w:rsid w:val="006E5A55"/>
    <w:rsid w:val="00704BEF"/>
    <w:rsid w:val="0074483D"/>
    <w:rsid w:val="007A5E1D"/>
    <w:rsid w:val="007B0ACB"/>
    <w:rsid w:val="007B36EA"/>
    <w:rsid w:val="007C7627"/>
    <w:rsid w:val="007F5A8E"/>
    <w:rsid w:val="008354AA"/>
    <w:rsid w:val="0084779F"/>
    <w:rsid w:val="008931C5"/>
    <w:rsid w:val="008B0600"/>
    <w:rsid w:val="008C225A"/>
    <w:rsid w:val="008C5713"/>
    <w:rsid w:val="009160AF"/>
    <w:rsid w:val="009A035B"/>
    <w:rsid w:val="00A21C35"/>
    <w:rsid w:val="00A35508"/>
    <w:rsid w:val="00A52832"/>
    <w:rsid w:val="00A8681B"/>
    <w:rsid w:val="00AA4249"/>
    <w:rsid w:val="00AE48DB"/>
    <w:rsid w:val="00B27796"/>
    <w:rsid w:val="00B328C3"/>
    <w:rsid w:val="00BC489A"/>
    <w:rsid w:val="00C13E4A"/>
    <w:rsid w:val="00C46D71"/>
    <w:rsid w:val="00C628D6"/>
    <w:rsid w:val="00C81A31"/>
    <w:rsid w:val="00CE29E5"/>
    <w:rsid w:val="00D3058F"/>
    <w:rsid w:val="00DA491F"/>
    <w:rsid w:val="00DE3FB4"/>
    <w:rsid w:val="00E06006"/>
    <w:rsid w:val="00EF269A"/>
    <w:rsid w:val="00F01D81"/>
    <w:rsid w:val="00F57484"/>
    <w:rsid w:val="00F60F05"/>
    <w:rsid w:val="00FA3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164A"/>
  <w15:chartTrackingRefBased/>
  <w15:docId w15:val="{3C54FC37-1AC5-4010-8B6F-EE405CD9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A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9813">
      <w:bodyDiv w:val="1"/>
      <w:marLeft w:val="0"/>
      <w:marRight w:val="0"/>
      <w:marTop w:val="0"/>
      <w:marBottom w:val="0"/>
      <w:divBdr>
        <w:top w:val="none" w:sz="0" w:space="0" w:color="auto"/>
        <w:left w:val="none" w:sz="0" w:space="0" w:color="auto"/>
        <w:bottom w:val="none" w:sz="0" w:space="0" w:color="auto"/>
        <w:right w:val="none" w:sz="0" w:space="0" w:color="auto"/>
      </w:divBdr>
    </w:div>
    <w:div w:id="497773884">
      <w:bodyDiv w:val="1"/>
      <w:marLeft w:val="0"/>
      <w:marRight w:val="0"/>
      <w:marTop w:val="0"/>
      <w:marBottom w:val="0"/>
      <w:divBdr>
        <w:top w:val="none" w:sz="0" w:space="0" w:color="auto"/>
        <w:left w:val="none" w:sz="0" w:space="0" w:color="auto"/>
        <w:bottom w:val="none" w:sz="0" w:space="0" w:color="auto"/>
        <w:right w:val="none" w:sz="0" w:space="0" w:color="auto"/>
      </w:divBdr>
    </w:div>
    <w:div w:id="799224323">
      <w:bodyDiv w:val="1"/>
      <w:marLeft w:val="0"/>
      <w:marRight w:val="0"/>
      <w:marTop w:val="0"/>
      <w:marBottom w:val="0"/>
      <w:divBdr>
        <w:top w:val="none" w:sz="0" w:space="0" w:color="auto"/>
        <w:left w:val="none" w:sz="0" w:space="0" w:color="auto"/>
        <w:bottom w:val="none" w:sz="0" w:space="0" w:color="auto"/>
        <w:right w:val="none" w:sz="0" w:space="0" w:color="auto"/>
      </w:divBdr>
    </w:div>
    <w:div w:id="1008675446">
      <w:bodyDiv w:val="1"/>
      <w:marLeft w:val="0"/>
      <w:marRight w:val="0"/>
      <w:marTop w:val="0"/>
      <w:marBottom w:val="0"/>
      <w:divBdr>
        <w:top w:val="none" w:sz="0" w:space="0" w:color="auto"/>
        <w:left w:val="none" w:sz="0" w:space="0" w:color="auto"/>
        <w:bottom w:val="none" w:sz="0" w:space="0" w:color="auto"/>
        <w:right w:val="none" w:sz="0" w:space="0" w:color="auto"/>
      </w:divBdr>
    </w:div>
    <w:div w:id="1124537062">
      <w:bodyDiv w:val="1"/>
      <w:marLeft w:val="0"/>
      <w:marRight w:val="0"/>
      <w:marTop w:val="0"/>
      <w:marBottom w:val="0"/>
      <w:divBdr>
        <w:top w:val="none" w:sz="0" w:space="0" w:color="auto"/>
        <w:left w:val="none" w:sz="0" w:space="0" w:color="auto"/>
        <w:bottom w:val="none" w:sz="0" w:space="0" w:color="auto"/>
        <w:right w:val="none" w:sz="0" w:space="0" w:color="auto"/>
      </w:divBdr>
    </w:div>
    <w:div w:id="1303730686">
      <w:bodyDiv w:val="1"/>
      <w:marLeft w:val="0"/>
      <w:marRight w:val="0"/>
      <w:marTop w:val="0"/>
      <w:marBottom w:val="0"/>
      <w:divBdr>
        <w:top w:val="none" w:sz="0" w:space="0" w:color="auto"/>
        <w:left w:val="none" w:sz="0" w:space="0" w:color="auto"/>
        <w:bottom w:val="none" w:sz="0" w:space="0" w:color="auto"/>
        <w:right w:val="none" w:sz="0" w:space="0" w:color="auto"/>
      </w:divBdr>
    </w:div>
    <w:div w:id="1422603214">
      <w:bodyDiv w:val="1"/>
      <w:marLeft w:val="0"/>
      <w:marRight w:val="0"/>
      <w:marTop w:val="0"/>
      <w:marBottom w:val="0"/>
      <w:divBdr>
        <w:top w:val="none" w:sz="0" w:space="0" w:color="auto"/>
        <w:left w:val="none" w:sz="0" w:space="0" w:color="auto"/>
        <w:bottom w:val="none" w:sz="0" w:space="0" w:color="auto"/>
        <w:right w:val="none" w:sz="0" w:space="0" w:color="auto"/>
      </w:divBdr>
    </w:div>
    <w:div w:id="1688675811">
      <w:bodyDiv w:val="1"/>
      <w:marLeft w:val="0"/>
      <w:marRight w:val="0"/>
      <w:marTop w:val="0"/>
      <w:marBottom w:val="0"/>
      <w:divBdr>
        <w:top w:val="none" w:sz="0" w:space="0" w:color="auto"/>
        <w:left w:val="none" w:sz="0" w:space="0" w:color="auto"/>
        <w:bottom w:val="none" w:sz="0" w:space="0" w:color="auto"/>
        <w:right w:val="none" w:sz="0" w:space="0" w:color="auto"/>
      </w:divBdr>
    </w:div>
    <w:div w:id="1868059029">
      <w:bodyDiv w:val="1"/>
      <w:marLeft w:val="0"/>
      <w:marRight w:val="0"/>
      <w:marTop w:val="0"/>
      <w:marBottom w:val="0"/>
      <w:divBdr>
        <w:top w:val="none" w:sz="0" w:space="0" w:color="auto"/>
        <w:left w:val="none" w:sz="0" w:space="0" w:color="auto"/>
        <w:bottom w:val="none" w:sz="0" w:space="0" w:color="auto"/>
        <w:right w:val="none" w:sz="0" w:space="0" w:color="auto"/>
      </w:divBdr>
    </w:div>
    <w:div w:id="1891646784">
      <w:bodyDiv w:val="1"/>
      <w:marLeft w:val="0"/>
      <w:marRight w:val="0"/>
      <w:marTop w:val="0"/>
      <w:marBottom w:val="0"/>
      <w:divBdr>
        <w:top w:val="none" w:sz="0" w:space="0" w:color="auto"/>
        <w:left w:val="none" w:sz="0" w:space="0" w:color="auto"/>
        <w:bottom w:val="none" w:sz="0" w:space="0" w:color="auto"/>
        <w:right w:val="none" w:sz="0" w:space="0" w:color="auto"/>
      </w:divBdr>
    </w:div>
    <w:div w:id="19167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36329-19E6-4144-80F5-AA0376E0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377</Words>
  <Characters>2154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Odilbekova  Shoxsanamoy Xusanboy qizi</dc:creator>
  <cp:keywords/>
  <dc:description/>
  <cp:lastModifiedBy>International Department</cp:lastModifiedBy>
  <cp:revision>62</cp:revision>
  <dcterms:created xsi:type="dcterms:W3CDTF">2025-09-10T04:37:00Z</dcterms:created>
  <dcterms:modified xsi:type="dcterms:W3CDTF">2025-12-23T09:29:00Z</dcterms:modified>
</cp:coreProperties>
</file>