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5E" w:rsidRPr="00E9035D" w:rsidRDefault="00E4025E" w:rsidP="00E4025E">
      <w:pPr>
        <w:shd w:val="clear" w:color="auto" w:fill="FFFFFF"/>
        <w:spacing w:after="173" w:line="253" w:lineRule="atLeast"/>
        <w:jc w:val="center"/>
        <w:textAlignment w:val="baseline"/>
        <w:outlineLvl w:val="1"/>
        <w:rPr>
          <w:rFonts w:ascii="PT Sans Narrow" w:hAnsi="PT Sans Narrow"/>
          <w:b/>
          <w:bCs/>
          <w:color w:val="000000"/>
        </w:rPr>
      </w:pPr>
      <w:r w:rsidRPr="00E9035D">
        <w:rPr>
          <w:rFonts w:ascii="PT Sans Narrow" w:hAnsi="PT Sans Narrow"/>
          <w:b/>
          <w:bCs/>
          <w:color w:val="000000"/>
        </w:rPr>
        <w:t>Б</w:t>
      </w:r>
      <w:r w:rsidRPr="00834038">
        <w:rPr>
          <w:rFonts w:ascii="PT Sans Narrow" w:hAnsi="PT Sans Narrow" w:hint="eastAsia"/>
          <w:b/>
          <w:bCs/>
          <w:color w:val="000000"/>
        </w:rPr>
        <w:t>анковская</w:t>
      </w:r>
      <w:r w:rsidRPr="00834038">
        <w:rPr>
          <w:rFonts w:ascii="PT Sans Narrow" w:hAnsi="PT Sans Narrow"/>
          <w:b/>
          <w:bCs/>
          <w:color w:val="000000"/>
        </w:rPr>
        <w:t xml:space="preserve"> </w:t>
      </w:r>
      <w:r w:rsidRPr="00834038">
        <w:rPr>
          <w:rFonts w:ascii="PT Sans Narrow" w:hAnsi="PT Sans Narrow" w:hint="eastAsia"/>
          <w:b/>
          <w:bCs/>
          <w:color w:val="000000"/>
        </w:rPr>
        <w:t>система</w:t>
      </w:r>
      <w:r w:rsidRPr="00834038">
        <w:rPr>
          <w:rFonts w:ascii="PT Sans Narrow" w:hAnsi="PT Sans Narrow"/>
          <w:b/>
          <w:bCs/>
          <w:color w:val="000000"/>
        </w:rPr>
        <w:t xml:space="preserve">: </w:t>
      </w:r>
      <w:r w:rsidRPr="00E040A6">
        <w:rPr>
          <w:rFonts w:ascii="PT Sans Narrow" w:hAnsi="PT Sans Narrow"/>
          <w:b/>
          <w:bCs/>
          <w:color w:val="000000"/>
        </w:rPr>
        <w:t>стабильность способствуют макроэкономическому росту</w:t>
      </w:r>
    </w:p>
    <w:p w:rsidR="00E4025E" w:rsidRPr="00D23086" w:rsidRDefault="00E4025E" w:rsidP="00E4025E">
      <w:pPr>
        <w:spacing w:before="120" w:after="120" w:line="254" w:lineRule="auto"/>
        <w:ind w:firstLine="709"/>
        <w:jc w:val="both"/>
        <w:rPr>
          <w:lang w:val="uz-Cyrl-UZ"/>
        </w:rPr>
      </w:pPr>
      <w:r w:rsidRPr="00D23086">
        <w:rPr>
          <w:lang w:val="uz-Cyrl-UZ"/>
        </w:rPr>
        <w:t>На расширенном заседании Правления Центрального банка Республики Узбекистан рассмотрено итоги деятельности банковской системы за 2015 г. и своевременное и полное исполнение наиважнейших направлений и приоритетных задач экономической программы на 2016 г., определенных Президентом страны И.Каримовым на заседании Кабинета Министров 15 января текущего года.</w:t>
      </w:r>
    </w:p>
    <w:p w:rsidR="00E4025E" w:rsidRPr="00D23086" w:rsidRDefault="00E4025E" w:rsidP="00E4025E">
      <w:pPr>
        <w:spacing w:before="120" w:after="120" w:line="254" w:lineRule="auto"/>
        <w:ind w:firstLine="709"/>
        <w:jc w:val="both"/>
        <w:rPr>
          <w:lang w:val="uz-Cyrl-UZ"/>
        </w:rPr>
      </w:pPr>
      <w:r w:rsidRPr="00D23086">
        <w:rPr>
          <w:lang w:val="uz-Cyrl-UZ"/>
        </w:rPr>
        <w:t>Заседание вел Председатель Центрального банка Файзулла Муллажанов.</w:t>
      </w:r>
    </w:p>
    <w:p w:rsidR="00E4025E" w:rsidRPr="00D23086" w:rsidRDefault="00E4025E" w:rsidP="00E4025E">
      <w:pPr>
        <w:spacing w:before="120" w:after="120" w:line="254" w:lineRule="auto"/>
        <w:ind w:firstLine="709"/>
        <w:jc w:val="both"/>
        <w:rPr>
          <w:lang w:val="uz-Cyrl-UZ"/>
        </w:rPr>
      </w:pPr>
      <w:r w:rsidRPr="00D23086">
        <w:rPr>
          <w:lang w:val="uz-Cyrl-UZ"/>
        </w:rPr>
        <w:t>Отмечено, что в отчетном году денежно-кредитная политика Центрального банка была направлена на исполнение прогнозных макроэкономических показателей на 2015 г., беспрекословное исполнение указов и постановлений главы государства, предусматривающих дальнейшее реформирование банковской системы, повышение ее устойчивости, достижение высоких международных рейтинговых показателей.</w:t>
      </w:r>
    </w:p>
    <w:p w:rsidR="00E4025E" w:rsidRPr="00D23086" w:rsidRDefault="00E4025E" w:rsidP="00E4025E">
      <w:pPr>
        <w:spacing w:before="120" w:after="120" w:line="254" w:lineRule="auto"/>
        <w:ind w:firstLine="709"/>
        <w:jc w:val="both"/>
        <w:rPr>
          <w:lang w:val="uz-Cyrl-UZ"/>
        </w:rPr>
      </w:pPr>
      <w:r w:rsidRPr="00D23086">
        <w:rPr>
          <w:lang w:val="uz-Cyrl-UZ"/>
        </w:rPr>
        <w:t xml:space="preserve">В отчетном году проведена </w:t>
      </w:r>
      <w:r>
        <w:rPr>
          <w:lang w:val="uz-Cyrl-UZ"/>
        </w:rPr>
        <w:t>масштабн</w:t>
      </w:r>
      <w:r w:rsidRPr="00D23086">
        <w:rPr>
          <w:lang w:val="uz-Cyrl-UZ"/>
        </w:rPr>
        <w:t xml:space="preserve">ая работа по повышению уровня капитализации банковской системы, </w:t>
      </w:r>
      <w:r>
        <w:rPr>
          <w:lang w:val="uz-Cyrl-UZ"/>
        </w:rPr>
        <w:t xml:space="preserve">дальнейшему </w:t>
      </w:r>
      <w:r w:rsidRPr="00D23086">
        <w:rPr>
          <w:lang w:val="uz-Cyrl-UZ"/>
        </w:rPr>
        <w:t>укреплению ее ликвидности и устойчивости.</w:t>
      </w:r>
    </w:p>
    <w:p w:rsidR="00E4025E" w:rsidRPr="006E464F" w:rsidRDefault="00E4025E" w:rsidP="00E4025E">
      <w:pPr>
        <w:spacing w:before="120" w:after="120" w:line="254" w:lineRule="auto"/>
        <w:ind w:firstLine="709"/>
        <w:jc w:val="both"/>
        <w:rPr>
          <w:lang w:val="uz-Cyrl-UZ"/>
        </w:rPr>
      </w:pPr>
      <w:r w:rsidRPr="006E464F">
        <w:rPr>
          <w:lang w:val="uz-Cyrl-UZ"/>
        </w:rPr>
        <w:t>В результате принятых эффективных мер, показатели банковской системы не только соответствуют общеприня</w:t>
      </w:r>
      <w:r>
        <w:rPr>
          <w:lang w:val="uz-Cyrl-UZ"/>
        </w:rPr>
        <w:t xml:space="preserve">тым мировым стандартам, но и превосходят их </w:t>
      </w:r>
      <w:r w:rsidRPr="006E464F">
        <w:rPr>
          <w:lang w:val="uz-Cyrl-UZ"/>
        </w:rPr>
        <w:t>по некоторым направлениям.</w:t>
      </w:r>
    </w:p>
    <w:p w:rsidR="00E4025E" w:rsidRPr="006E464F" w:rsidRDefault="00E4025E" w:rsidP="00E4025E">
      <w:pPr>
        <w:spacing w:before="120" w:after="120" w:line="254" w:lineRule="auto"/>
        <w:ind w:firstLine="709"/>
        <w:jc w:val="both"/>
        <w:rPr>
          <w:lang w:val="uz-Cyrl-UZ"/>
        </w:rPr>
      </w:pPr>
      <w:r w:rsidRPr="006E464F">
        <w:rPr>
          <w:lang w:val="uz-Cyrl-UZ"/>
        </w:rPr>
        <w:t>В частности, сегодня уровень достаточности капитала банковской системы составляет 23,</w:t>
      </w:r>
      <w:r>
        <w:rPr>
          <w:lang w:val="uz-Cyrl-UZ"/>
        </w:rPr>
        <w:t>3</w:t>
      </w:r>
      <w:r w:rsidRPr="006E464F">
        <w:rPr>
          <w:lang w:val="uz-Cyrl-UZ"/>
        </w:rPr>
        <w:t>%, что в 3 раза превышает требования, установленные Базельским комитетом по банковскому надзору (8%). Данный показатель по состоянию на 1 января 201</w:t>
      </w:r>
      <w:r>
        <w:rPr>
          <w:lang w:val="uz-Cyrl-UZ"/>
        </w:rPr>
        <w:t>6</w:t>
      </w:r>
      <w:r w:rsidRPr="006E464F">
        <w:rPr>
          <w:lang w:val="uz-Cyrl-UZ"/>
        </w:rPr>
        <w:t xml:space="preserve"> г. достиг более </w:t>
      </w:r>
      <w:r>
        <w:rPr>
          <w:lang w:val="uz-Cyrl-UZ"/>
        </w:rPr>
        <w:t>7</w:t>
      </w:r>
      <w:r w:rsidRPr="006E464F">
        <w:rPr>
          <w:lang w:val="uz-Cyrl-UZ"/>
        </w:rPr>
        <w:t>,</w:t>
      </w:r>
      <w:r>
        <w:rPr>
          <w:lang w:val="uz-Cyrl-UZ"/>
        </w:rPr>
        <w:t xml:space="preserve">8 </w:t>
      </w:r>
      <w:r w:rsidRPr="006E464F">
        <w:rPr>
          <w:lang w:val="uz-Cyrl-UZ"/>
        </w:rPr>
        <w:t>трлн сумов.</w:t>
      </w:r>
      <w:r>
        <w:rPr>
          <w:lang w:val="uz-Cyrl-UZ"/>
        </w:rPr>
        <w:t xml:space="preserve"> (Д-1)</w:t>
      </w:r>
    </w:p>
    <w:p w:rsidR="00E4025E" w:rsidRPr="006E464F" w:rsidRDefault="00E4025E" w:rsidP="00E4025E">
      <w:pPr>
        <w:spacing w:before="120" w:after="120" w:line="254" w:lineRule="auto"/>
        <w:ind w:firstLine="709"/>
        <w:jc w:val="both"/>
        <w:rPr>
          <w:lang w:val="uz-Cyrl-UZ"/>
        </w:rPr>
      </w:pPr>
      <w:r w:rsidRPr="006E464F">
        <w:rPr>
          <w:lang w:val="uz-Cyrl-UZ"/>
        </w:rPr>
        <w:t>Уровень текущей ликвидности банковской системы вот уже в течение ряда лет превышает 64,5%, что в 2 раза больше минимального уровня, установленного международными стандартами.</w:t>
      </w:r>
    </w:p>
    <w:p w:rsidR="00E4025E" w:rsidRPr="006E464F" w:rsidRDefault="00E4025E" w:rsidP="00E4025E">
      <w:pPr>
        <w:spacing w:before="120" w:after="120" w:line="254" w:lineRule="auto"/>
        <w:ind w:firstLine="709"/>
        <w:jc w:val="both"/>
        <w:rPr>
          <w:lang w:val="uz-Cyrl-UZ"/>
        </w:rPr>
      </w:pPr>
      <w:r w:rsidRPr="006E464F">
        <w:rPr>
          <w:lang w:val="uz-Cyrl-UZ"/>
        </w:rPr>
        <w:t xml:space="preserve">Активы банков по сравнению с </w:t>
      </w:r>
      <w:r>
        <w:rPr>
          <w:lang w:val="uz-Cyrl-UZ"/>
        </w:rPr>
        <w:t>прошл</w:t>
      </w:r>
      <w:r>
        <w:t>ы</w:t>
      </w:r>
      <w:r>
        <w:rPr>
          <w:lang w:val="uz-Cyrl-UZ"/>
        </w:rPr>
        <w:t>м годом</w:t>
      </w:r>
      <w:r w:rsidRPr="006E464F">
        <w:rPr>
          <w:lang w:val="uz-Cyrl-UZ"/>
        </w:rPr>
        <w:t xml:space="preserve"> возросли на 25,1% и составили 65,2 трлн сумов. (Д-2)</w:t>
      </w:r>
    </w:p>
    <w:p w:rsidR="00E4025E" w:rsidRPr="00D052A7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D052A7">
        <w:rPr>
          <w:lang w:val="uz-Cyrl-UZ"/>
        </w:rPr>
        <w:t>Осуществление эффективного банковского надзора по международным стандартам, проведение мониторинга ликвидности и качества банковских активов дали возможность всем отечественным коммерческим банкам подтвердить присвоенную положительную рейтинговую оценку «стабильный» от международных рейтинговых агентств.</w:t>
      </w:r>
    </w:p>
    <w:p w:rsidR="00E4025E" w:rsidRPr="00D052A7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D052A7">
        <w:rPr>
          <w:lang w:val="uz-Cyrl-UZ"/>
        </w:rPr>
        <w:t>Международное рейтинговое агентство Мoody’s шестой год подряд присваивает рейтинговую оценку с прогнозом «стабильный» перспективам развития банковской системы Узбекистана.</w:t>
      </w:r>
    </w:p>
    <w:p w:rsidR="00E4025E" w:rsidRPr="00D052A7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>
        <w:rPr>
          <w:lang w:val="uz-Cyrl-UZ"/>
        </w:rPr>
        <w:t xml:space="preserve">Деятельность банковской системы Узбекистана также оценен как “стабильный” рейтинговыми агентствами </w:t>
      </w:r>
      <w:r w:rsidRPr="00D052A7">
        <w:rPr>
          <w:lang w:val="uz-Cyrl-UZ"/>
        </w:rPr>
        <w:t>Standard &amp; Poor’s</w:t>
      </w:r>
      <w:r w:rsidRPr="00746691">
        <w:rPr>
          <w:lang w:val="uz-Cyrl-UZ"/>
        </w:rPr>
        <w:t xml:space="preserve"> </w:t>
      </w:r>
      <w:r>
        <w:rPr>
          <w:lang w:val="uz-Cyrl-UZ"/>
        </w:rPr>
        <w:t>и</w:t>
      </w:r>
      <w:r w:rsidRPr="00746691">
        <w:rPr>
          <w:lang w:val="uz-Cyrl-UZ"/>
        </w:rPr>
        <w:t xml:space="preserve"> </w:t>
      </w:r>
      <w:r w:rsidRPr="00D052A7">
        <w:rPr>
          <w:lang w:val="uz-Cyrl-UZ"/>
        </w:rPr>
        <w:t>Fitch Ratings</w:t>
      </w:r>
      <w:r>
        <w:rPr>
          <w:lang w:val="uz-Cyrl-UZ"/>
        </w:rPr>
        <w:t xml:space="preserve">. </w:t>
      </w:r>
    </w:p>
    <w:p w:rsidR="00E4025E" w:rsidRPr="00746691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>
        <w:rPr>
          <w:lang w:val="uz-Cyrl-UZ"/>
        </w:rPr>
        <w:t>Таким образом, все отечественные банки имеет оценки “стабильный” от большой тройки рейтинговых агентств.</w:t>
      </w:r>
      <w:r w:rsidRPr="00746691">
        <w:rPr>
          <w:lang w:val="uz-Cyrl-UZ"/>
        </w:rPr>
        <w:t xml:space="preserve"> </w:t>
      </w:r>
    </w:p>
    <w:p w:rsidR="00E4025E" w:rsidRPr="004B7F2D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4B7F2D">
        <w:rPr>
          <w:lang w:val="uz-Cyrl-UZ"/>
        </w:rPr>
        <w:t xml:space="preserve">Основные индикаторы деятельности банковской системы, а именно «достаточность совокупного капитала банков», «ликвидность коммерческих банков», «динамика объема депозитов», «изменение объема кредитных вложений», по итогам </w:t>
      </w:r>
      <w:r>
        <w:rPr>
          <w:lang w:val="uz-Cyrl-UZ"/>
        </w:rPr>
        <w:t>отчетного года</w:t>
      </w:r>
      <w:r w:rsidRPr="004B7F2D">
        <w:rPr>
          <w:lang w:val="uz-Cyrl-UZ"/>
        </w:rPr>
        <w:t xml:space="preserve"> соответствуют оценке высокого уровня.</w:t>
      </w:r>
    </w:p>
    <w:p w:rsidR="00E4025E" w:rsidRPr="00207FCE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207FCE">
        <w:rPr>
          <w:lang w:val="uz-Cyrl-UZ"/>
        </w:rPr>
        <w:t xml:space="preserve">В отчетном году коммерческими банками осуществлен ряд масштабных мер в рамках приоритетных задач на 2015 г., ориентированных на ввод важнейших современных </w:t>
      </w:r>
      <w:r w:rsidRPr="00207FCE">
        <w:rPr>
          <w:lang w:val="uz-Cyrl-UZ"/>
        </w:rPr>
        <w:lastRenderedPageBreak/>
        <w:t>и высокотехнологичных промышленных производств и мощностей, модернизацию ведущих отраслей экономики, ускорение технического и технологического обновления.</w:t>
      </w:r>
    </w:p>
    <w:p w:rsidR="00E4025E" w:rsidRPr="00207FCE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207FCE">
        <w:rPr>
          <w:lang w:val="uz-Cyrl-UZ"/>
        </w:rPr>
        <w:t>В результате общий объем кредитов, направленных в реальный сектор экономики увеличился на 27,3% по сравнению с 2014 г. и на начало текущего года составляет более 42,7 трлн сумов.</w:t>
      </w:r>
      <w:r>
        <w:rPr>
          <w:lang w:val="uz-Cyrl-UZ"/>
        </w:rPr>
        <w:t xml:space="preserve"> (Д-3)</w:t>
      </w:r>
    </w:p>
    <w:p w:rsidR="00E4025E" w:rsidRPr="00207FCE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207FCE">
        <w:rPr>
          <w:lang w:val="uz-Cyrl-UZ"/>
        </w:rPr>
        <w:t>Объем кредитов, выданных на инвестиционные цели, по сравнению с 2013 г. увеличился более чем в 1,2 раза и по состоянию на 1 января 2016 г. составил 10,2 трлн сумов. (Д</w:t>
      </w:r>
      <w:r>
        <w:rPr>
          <w:lang w:val="uz-Cyrl-UZ"/>
        </w:rPr>
        <w:t>-</w:t>
      </w:r>
      <w:r w:rsidRPr="00207FCE">
        <w:rPr>
          <w:lang w:val="uz-Cyrl-UZ"/>
        </w:rPr>
        <w:t>4)</w:t>
      </w:r>
    </w:p>
    <w:p w:rsidR="00E4025E" w:rsidRPr="00D82E19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D82E19">
        <w:rPr>
          <w:lang w:val="uz-Cyrl-UZ"/>
        </w:rPr>
        <w:t>В целях исполнения указов и постановлений главы государства, направленную созданию благоприятной деловой среды и предоставлению большей свободы предпринимательству, объем выданных кредитов субъектам малого бизнеса по сравнению с 2014 г. увеличился в 1,3 раза и на 1 января текущего года составил более 12,1 трлн сумов, из них микрокредиты составили более 2,5 трлн сумов, что в 1,3 раза больше по сравнению с 2014 г.</w:t>
      </w:r>
      <w:r>
        <w:rPr>
          <w:lang w:val="uz-Cyrl-UZ"/>
        </w:rPr>
        <w:t xml:space="preserve"> </w:t>
      </w:r>
      <w:r w:rsidRPr="00746691">
        <w:rPr>
          <w:lang w:val="uz-Cyrl-UZ"/>
        </w:rPr>
        <w:t>(Д</w:t>
      </w:r>
      <w:r>
        <w:rPr>
          <w:lang w:val="uz-Cyrl-UZ"/>
        </w:rPr>
        <w:t>-</w:t>
      </w:r>
      <w:r w:rsidRPr="00746691">
        <w:rPr>
          <w:lang w:val="uz-Cyrl-UZ"/>
        </w:rPr>
        <w:t>5)</w:t>
      </w:r>
    </w:p>
    <w:p w:rsidR="00E4025E" w:rsidRPr="00434B7B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434B7B">
        <w:rPr>
          <w:lang w:val="uz-Cyrl-UZ"/>
        </w:rPr>
        <w:t>Коммерческими банками объем выданных кредитных средств на поддержке женщин-предпринимательниц увеличился в 1,3 раза по сравнению с 2014 годом и составил более 1,2 млрд сумов.</w:t>
      </w:r>
    </w:p>
    <w:p w:rsidR="00E4025E" w:rsidRPr="00434B7B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434B7B">
        <w:rPr>
          <w:lang w:val="uz-Cyrl-UZ"/>
        </w:rPr>
        <w:t>Также банки уделяют большое внимание широкому вовлечению молодежи в предпринимательство, особенно выпускников профессиональных колледжей, а также финансовой поддержке их бизнес-проектов. В прошлом году по данному направлению были выделены кредитные ресурсы в объеме 277,8 млрд сумов, что в 1,4 раза больше по сравнению с 2014 г. </w:t>
      </w:r>
    </w:p>
    <w:p w:rsidR="00E4025E" w:rsidRPr="00E16A3A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E16A3A">
        <w:rPr>
          <w:lang w:val="uz-Cyrl-UZ"/>
        </w:rPr>
        <w:t>Уместно отметить, что успехи по реформирования и либерализации отечественной банковской системы нашли свои отражения в ежегодном аналитическом обзоре Мирового банка и Международной финансовой корпорации по условиям ведения предпринимательской деятельности «Doing Businees-2016».</w:t>
      </w:r>
    </w:p>
    <w:p w:rsidR="00E4025E" w:rsidRPr="00E16A3A" w:rsidRDefault="00E4025E" w:rsidP="00E4025E">
      <w:pPr>
        <w:spacing w:before="80" w:after="80" w:line="250" w:lineRule="auto"/>
        <w:ind w:firstLine="709"/>
        <w:jc w:val="both"/>
        <w:rPr>
          <w:lang w:val="uz-Cyrl-UZ"/>
        </w:rPr>
      </w:pPr>
      <w:r w:rsidRPr="00E16A3A">
        <w:rPr>
          <w:lang w:val="uz-Cyrl-UZ"/>
        </w:rPr>
        <w:t xml:space="preserve">По отчету обнародованному в октябре минувшего года, за последние три года по условиям кредитования рейтинг Узбекистана продвинулась сразу на 113 ступень, то есть с 154 места на 42. </w:t>
      </w:r>
    </w:p>
    <w:p w:rsidR="00E4025E" w:rsidRPr="00D7361E" w:rsidRDefault="00E4025E" w:rsidP="00E4025E">
      <w:pPr>
        <w:spacing w:before="120" w:after="120" w:line="264" w:lineRule="auto"/>
        <w:ind w:firstLine="709"/>
        <w:jc w:val="both"/>
        <w:rPr>
          <w:lang w:val="uz-Cyrl-UZ"/>
        </w:rPr>
      </w:pPr>
      <w:r w:rsidRPr="00D7361E">
        <w:rPr>
          <w:lang w:val="uz-Cyrl-UZ"/>
        </w:rPr>
        <w:t>Устойчивое состояние банков, рост доверия и повышение реальных доходов населения год за годом становяться прочной основой привлечения свободных денежных средств населения и хозяйствующих субъектов в депозиты банков.</w:t>
      </w:r>
    </w:p>
    <w:p w:rsidR="00E4025E" w:rsidRPr="00D7361E" w:rsidRDefault="00E4025E" w:rsidP="00E4025E">
      <w:pPr>
        <w:spacing w:before="120" w:after="120" w:line="264" w:lineRule="auto"/>
        <w:ind w:firstLine="709"/>
        <w:jc w:val="both"/>
        <w:rPr>
          <w:lang w:val="uz-Cyrl-UZ"/>
        </w:rPr>
      </w:pPr>
      <w:r w:rsidRPr="00D7361E">
        <w:rPr>
          <w:lang w:val="uz-Cyrl-UZ"/>
        </w:rPr>
        <w:t xml:space="preserve">Целенаправленная работа по дальнейшему увеличению ресурсной базы банков обеспечивают рост объема депозитов банков. В частности, объем депозитов по сравнению с 2014 г. вырос на 28% и на начало текущего года составляет 35,6 трлн сумов. </w:t>
      </w:r>
      <w:r w:rsidRPr="00746691">
        <w:rPr>
          <w:lang w:val="uz-Cyrl-UZ"/>
        </w:rPr>
        <w:t>(Д-7)</w:t>
      </w:r>
    </w:p>
    <w:p w:rsidR="00E4025E" w:rsidRPr="00D7361E" w:rsidRDefault="00E4025E" w:rsidP="00E4025E">
      <w:pPr>
        <w:spacing w:before="120" w:after="120" w:line="264" w:lineRule="auto"/>
        <w:ind w:firstLine="709"/>
        <w:jc w:val="both"/>
        <w:rPr>
          <w:lang w:val="uz-Cyrl-UZ"/>
        </w:rPr>
      </w:pPr>
      <w:r w:rsidRPr="00D7361E">
        <w:rPr>
          <w:lang w:val="uz-Cyrl-UZ"/>
        </w:rPr>
        <w:t>Отмечено, что в отчетном году доля банковских услуг в структуре финансовых услуг составила 88% и выросла в более 1,3 раза по сравнению с 2014 г. Это результат целевых мер, предпринимаемых по расширению объема и улучшению качества оказываемых банковских услуг населению и субъектам предпринимательства.</w:t>
      </w:r>
    </w:p>
    <w:p w:rsidR="00E4025E" w:rsidRPr="00D7361E" w:rsidRDefault="00E4025E" w:rsidP="00E4025E">
      <w:pPr>
        <w:spacing w:before="120" w:after="120" w:line="264" w:lineRule="auto"/>
        <w:ind w:firstLine="709"/>
        <w:jc w:val="both"/>
        <w:rPr>
          <w:lang w:val="uz-Cyrl-UZ"/>
        </w:rPr>
      </w:pPr>
      <w:r w:rsidRPr="00D7361E">
        <w:rPr>
          <w:lang w:val="uz-Cyrl-UZ"/>
        </w:rPr>
        <w:t>Особое внимание уделяется развитию безналичных расчетов. По итогам отчетного года в стране выпущено в обращение свыше 16,3 млн пластиковых карт, а количество установленных терминалов в объектах торговли и сервиса достигли 183,1 тыс. штук.</w:t>
      </w:r>
    </w:p>
    <w:p w:rsidR="00E4025E" w:rsidRPr="009920F0" w:rsidRDefault="00E4025E" w:rsidP="00E4025E">
      <w:pPr>
        <w:spacing w:before="120" w:after="120" w:line="264" w:lineRule="auto"/>
        <w:ind w:firstLine="709"/>
        <w:jc w:val="both"/>
        <w:rPr>
          <w:lang w:val="uz-Cyrl-UZ"/>
        </w:rPr>
      </w:pPr>
      <w:r w:rsidRPr="009920F0">
        <w:rPr>
          <w:lang w:val="uz-Cyrl-UZ"/>
        </w:rPr>
        <w:lastRenderedPageBreak/>
        <w:t>Вместе с тем на заседании подверглась жесткой критике деятельность отдельных коммерческих банков, которые не в полной мере используют имеющиеся внутренние возможности по расширению видов оказываемых услуг и повышению доверия клиентов.</w:t>
      </w:r>
    </w:p>
    <w:p w:rsidR="00E4025E" w:rsidRPr="00E83AD8" w:rsidRDefault="00E4025E" w:rsidP="00E4025E">
      <w:pPr>
        <w:spacing w:before="120" w:after="120" w:line="264" w:lineRule="auto"/>
        <w:ind w:firstLine="709"/>
        <w:jc w:val="both"/>
        <w:rPr>
          <w:lang w:val="uz-Cyrl-UZ"/>
        </w:rPr>
      </w:pPr>
      <w:r w:rsidRPr="00E83AD8">
        <w:rPr>
          <w:lang w:val="uz-Cyrl-UZ"/>
        </w:rPr>
        <w:t xml:space="preserve">На заседании определены конкретные задачи по беспрекословному исполнению приоритетных задач на 2016 г., </w:t>
      </w:r>
      <w:r>
        <w:rPr>
          <w:lang w:val="uz-Cyrl-UZ"/>
        </w:rPr>
        <w:t>изложенн</w:t>
      </w:r>
      <w:r w:rsidRPr="00E83AD8">
        <w:rPr>
          <w:lang w:val="uz-Cyrl-UZ"/>
        </w:rPr>
        <w:t>ы</w:t>
      </w:r>
      <w:r>
        <w:rPr>
          <w:lang w:val="uz-Cyrl-UZ"/>
        </w:rPr>
        <w:t>е</w:t>
      </w:r>
      <w:r w:rsidRPr="00E83AD8">
        <w:rPr>
          <w:lang w:val="uz-Cyrl-UZ"/>
        </w:rPr>
        <w:t xml:space="preserve"> главой государства</w:t>
      </w:r>
      <w:r>
        <w:rPr>
          <w:lang w:val="uz-Cyrl-UZ"/>
        </w:rPr>
        <w:t xml:space="preserve"> по осу</w:t>
      </w:r>
      <w:r>
        <w:t>щ</w:t>
      </w:r>
      <w:r>
        <w:rPr>
          <w:lang w:val="uz-Cyrl-UZ"/>
        </w:rPr>
        <w:t>ествлению реформы</w:t>
      </w:r>
      <w:r w:rsidRPr="00E83AD8">
        <w:rPr>
          <w:lang w:val="uz-Cyrl-UZ"/>
        </w:rPr>
        <w:t xml:space="preserve">, </w:t>
      </w:r>
      <w:r>
        <w:rPr>
          <w:lang w:val="uz-Cyrl-UZ"/>
        </w:rPr>
        <w:t xml:space="preserve">структурные преобразования в экономике, созданию еще более широкие возможности для развития частной собственности, предпринимательства и малого бизнеса, в частности </w:t>
      </w:r>
      <w:r w:rsidRPr="00E83AD8">
        <w:rPr>
          <w:lang w:val="uz-Cyrl-UZ"/>
        </w:rPr>
        <w:t xml:space="preserve">последовательному продолжению </w:t>
      </w:r>
      <w:r>
        <w:rPr>
          <w:lang w:val="uz-Cyrl-UZ"/>
        </w:rPr>
        <w:t>реализуем</w:t>
      </w:r>
      <w:r w:rsidRPr="00E83AD8">
        <w:rPr>
          <w:lang w:val="uz-Cyrl-UZ"/>
        </w:rPr>
        <w:t xml:space="preserve">ых мер по обеспечению устойчивости банковской системы, усовершенствованию системы оценки деятельности коммерческих банков в соответствии с международными стандартами и принципами регулирования и надзора, по укреплению установленного сотрудничества с международными финансовыми институтами, финансовой поддержки </w:t>
      </w:r>
      <w:r>
        <w:rPr>
          <w:lang w:val="uz-Cyrl-UZ"/>
        </w:rPr>
        <w:t>хозяйствующих субъектов</w:t>
      </w:r>
      <w:r w:rsidRPr="00E83AD8">
        <w:rPr>
          <w:lang w:val="uz-Cyrl-UZ"/>
        </w:rPr>
        <w:t>, расширению и улучшению линейки банковских услуг, ускоренному внедрению в практику современных информационно-коммуникационных технологий.</w:t>
      </w:r>
    </w:p>
    <w:p w:rsidR="00E4025E" w:rsidRPr="00E83AD8" w:rsidRDefault="00E4025E" w:rsidP="00E4025E">
      <w:pPr>
        <w:spacing w:before="120" w:after="120" w:line="264" w:lineRule="auto"/>
        <w:ind w:firstLine="709"/>
        <w:jc w:val="both"/>
        <w:rPr>
          <w:lang w:val="uz-Cyrl-UZ"/>
        </w:rPr>
      </w:pPr>
      <w:r w:rsidRPr="00E83AD8">
        <w:rPr>
          <w:lang w:val="uz-Cyrl-UZ"/>
        </w:rPr>
        <w:t>Помимо всего прочего, в связи с объявлением 2016 г. «Годом здоровой матери и ребенка» перед руководителями коммерческих банков поставлены задачи по неуклонному выполнению мер согласно разрабатываемой Государственной программе, а также программе создания рабочих мест в 2016 г.</w:t>
      </w:r>
    </w:p>
    <w:p w:rsidR="00E4025E" w:rsidRPr="00E83AD8" w:rsidRDefault="00E4025E" w:rsidP="00E4025E">
      <w:pPr>
        <w:spacing w:before="120" w:after="120" w:line="264" w:lineRule="auto"/>
        <w:ind w:firstLine="709"/>
        <w:jc w:val="both"/>
        <w:rPr>
          <w:lang w:val="uz-Cyrl-UZ"/>
        </w:rPr>
      </w:pPr>
      <w:r w:rsidRPr="00E83AD8">
        <w:rPr>
          <w:lang w:val="uz-Cyrl-UZ"/>
        </w:rPr>
        <w:t>На заседании по обсужденным вопросам приняты соответствующие решения.</w:t>
      </w:r>
    </w:p>
    <w:p w:rsidR="00D86084" w:rsidRPr="00E4025E" w:rsidRDefault="00D86084">
      <w:pPr>
        <w:rPr>
          <w:lang w:val="uz-Cyrl-UZ"/>
        </w:rPr>
      </w:pPr>
      <w:bookmarkStart w:id="0" w:name="_GoBack"/>
      <w:bookmarkEnd w:id="0"/>
    </w:p>
    <w:sectPr w:rsidR="00D86084" w:rsidRPr="00E4025E" w:rsidSect="008A654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5E"/>
    <w:rsid w:val="00D86084"/>
    <w:rsid w:val="00E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89720-441F-4AF9-AEA1-F9BD7703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2016-01-18T09:33:00Z</dcterms:created>
  <dcterms:modified xsi:type="dcterms:W3CDTF">2016-01-18T09:33:00Z</dcterms:modified>
</cp:coreProperties>
</file>