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1C" w:rsidRPr="002D621C" w:rsidRDefault="002D621C" w:rsidP="002D621C">
      <w:pPr>
        <w:shd w:val="clear" w:color="auto" w:fill="FFFFFF"/>
        <w:spacing w:after="225" w:line="330" w:lineRule="atLeast"/>
        <w:textAlignment w:val="baseline"/>
        <w:outlineLvl w:val="1"/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</w:pPr>
      <w:bookmarkStart w:id="0" w:name="_GoBack"/>
      <w:r w:rsidRPr="002D621C"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  <w:t>МИКРОКРЕДИТ ТАШКИЛОТЛАРИДА БУХГАЛТЕРИЯ ҲИСОБИ ҲИСОБВАРАҚЛАРИ РЕЖАСИГА КИРИТИЛГАН ЎЗГАРТИРИШ ВА ҚЎШИМЧАЛАР ЮЗАСИДАН ШАРҲ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Йўриқнома»га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кўшимчалар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тасдиқланди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Адлия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вазирлигида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июнда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1728-1-сон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давлат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Ушбу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навбатида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режасига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тегишли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киритишни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тақозо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Зеро, бухгалтерия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қандай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режасидаги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мос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акс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эттирилиши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Шу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муносабат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Бошқарувининг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21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майдаги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16/5-сонли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қарори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"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 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режаси”га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тасдиқланди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Адлия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вазирлигида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24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июнда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1639-1-сон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давлат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тўғрисида”ги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16-моддаси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лицензиялаш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низом”нинг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рақами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2093, 2010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13 апрель) VIII-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бобига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белгиланган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ҳақли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эканлиги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сабабли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ўртасида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ҳисоб-китоблар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юритувчи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“16100-Бош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“16102-Бош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-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Молиявий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“16104-Бош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активлар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“22200-Бош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тўланадиган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“22203-Бош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тўланадиган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Молиявий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“22205 – Бош офис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ёки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тўланадиган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активлар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1728-1-сонли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ифодаланган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актив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мажбуриятларнинг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бўйича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қайта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баҳолашда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юзага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келадиган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фарқлар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юритувчи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“19927-Чет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муддати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узайтирилган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харажатлар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“22816-Чет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муддати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узайтирилган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даромад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“45400-Чет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“45401-Чет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“55300-Чет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зарар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”, “55301-Чет эл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валютаси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курси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ўзгариши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натижасида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зарар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кодексининг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19-бобига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юридик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шахс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сифатида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солиғи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тўлашини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инобатга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таомиллаштириш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мақсадида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«19931-Муддати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узайтирилган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«22502-Ҳисобланган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даромад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«22504-Ҳисобланган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«22508-Муддати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узайтирилган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56714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даромад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солиғидан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ташқари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)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лицензиялар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«56900-Даромад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солиғини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баҳолаш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«56902-Даромад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солиғини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баҳолаш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номи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таърифига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тегишли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1728-1-сонли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грант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такомиллаштириш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мақсадида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«22814-Грант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», «45917-Грант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маблағларидан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даромад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”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мос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равишда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“31700-Грант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«31701-Грант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маблағлари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номи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таърифи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таҳрирда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берилди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таъсисчиларга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дивидендлар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тўлови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режасига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алоҳида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«29807-Тўланиши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дивидендлар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тўғрисида»ги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3-моддасига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чиқариш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суғурта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савдо-воситачилик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ушбу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назарда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тутилмаган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бевосита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шуғулланишга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ҳақли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эмас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Шу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муносабат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операциялари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шуғулланмаслигини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«55600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55602»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кодли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ҳисобварақларнинг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таърифлари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чиқариб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ташланди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Хулоса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айтганда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ташкилотларида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бухгалтерия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режасига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жорий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этилган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янги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ҳисобварақлар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актив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мажбуриятлари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даромад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харажатларини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аниқ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баҳолаш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орқали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бошқаришни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енгиллаштириш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самарадорлигини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хизмат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қилади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Микрокредит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ташкилотлари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ушбу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қўшимчалардан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келиб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чиқиб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амалиётга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жорий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бўйича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тегишли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чоралар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кўришлари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талабларига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оғишмай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қилишлари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</w:t>
      </w:r>
      <w:proofErr w:type="spellEnd"/>
      <w:r w:rsidRPr="002D621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2D621C" w:rsidRPr="002D621C" w:rsidRDefault="002D621C" w:rsidP="002D621C">
      <w:pPr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М. МАРПАТОВ</w:t>
      </w:r>
    </w:p>
    <w:p w:rsidR="002D621C" w:rsidRPr="002D621C" w:rsidRDefault="002D621C" w:rsidP="002D621C">
      <w:pPr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Ўзбекистон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Республикаси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Марказий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банки</w:t>
      </w:r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  <w:t xml:space="preserve">Бухгалтерия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ҳисоби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ҳисоботи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ва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давлат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бюджети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касса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ижроси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департаменти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br/>
        <w:t> 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директори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ўринбосари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и.ф.н</w:t>
      </w:r>
      <w:proofErr w:type="spellEnd"/>
      <w:r w:rsidRPr="002D621C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.</w:t>
      </w:r>
    </w:p>
    <w:bookmarkEnd w:id="0"/>
    <w:p w:rsidR="009F43A9" w:rsidRPr="002D621C" w:rsidRDefault="009F43A9" w:rsidP="002D621C"/>
    <w:sectPr w:rsidR="009F43A9" w:rsidRPr="002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1C"/>
    <w:rsid w:val="002D621C"/>
    <w:rsid w:val="009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6193-2018-4833-89ED-CC320D06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</cp:revision>
  <dcterms:created xsi:type="dcterms:W3CDTF">2016-01-12T07:52:00Z</dcterms:created>
  <dcterms:modified xsi:type="dcterms:W3CDTF">2016-01-12T07:52:00Z</dcterms:modified>
</cp:coreProperties>
</file>