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687" w:type="dxa"/>
        <w:jc w:val="center"/>
        <w:tblLayout w:type="fixed"/>
        <w:tblLook w:val="04A0" w:firstRow="1" w:lastRow="0" w:firstColumn="1" w:lastColumn="0" w:noHBand="0" w:noVBand="1"/>
      </w:tblPr>
      <w:tblGrid>
        <w:gridCol w:w="708"/>
        <w:gridCol w:w="4285"/>
        <w:gridCol w:w="6699"/>
        <w:gridCol w:w="2995"/>
      </w:tblGrid>
      <w:tr w:rsidR="002606EE" w:rsidRPr="000B3BAF" w14:paraId="7A964F62" w14:textId="77777777" w:rsidTr="00AE48DB">
        <w:trPr>
          <w:trHeight w:val="1612"/>
          <w:jc w:val="center"/>
        </w:trPr>
        <w:tc>
          <w:tcPr>
            <w:tcW w:w="708" w:type="dxa"/>
            <w:shd w:val="clear" w:color="auto" w:fill="9CC2E5" w:themeFill="accent1" w:themeFillTint="99"/>
            <w:vAlign w:val="center"/>
          </w:tcPr>
          <w:p w14:paraId="2297E292" w14:textId="77777777" w:rsidR="002606EE" w:rsidRPr="00A52832" w:rsidRDefault="002606EE" w:rsidP="00311C31">
            <w:pPr>
              <w:jc w:val="center"/>
              <w:rPr>
                <w:rFonts w:ascii="Times New Roman" w:hAnsi="Times New Roman" w:cs="Times New Roman"/>
                <w:b/>
                <w:sz w:val="28"/>
                <w:szCs w:val="28"/>
                <w:lang w:val="uz-Cyrl-UZ"/>
              </w:rPr>
            </w:pPr>
            <w:r w:rsidRPr="00A52832">
              <w:rPr>
                <w:rFonts w:ascii="Times New Roman" w:hAnsi="Times New Roman" w:cs="Times New Roman"/>
                <w:b/>
                <w:sz w:val="28"/>
                <w:szCs w:val="28"/>
                <w:lang w:val="uz-Cyrl-UZ"/>
              </w:rPr>
              <w:t>№</w:t>
            </w:r>
          </w:p>
        </w:tc>
        <w:tc>
          <w:tcPr>
            <w:tcW w:w="4285" w:type="dxa"/>
            <w:shd w:val="clear" w:color="auto" w:fill="9CC2E5" w:themeFill="accent1" w:themeFillTint="99"/>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2811"/>
            </w:tblGrid>
            <w:tr w:rsidR="00463580" w:rsidRPr="00A52832" w14:paraId="36BFFE8D" w14:textId="77777777" w:rsidTr="00AE48DB">
              <w:trPr>
                <w:gridAfter w:val="1"/>
                <w:wAfter w:w="2766" w:type="dxa"/>
                <w:trHeight w:val="348"/>
                <w:tblCellSpacing w:w="15" w:type="dxa"/>
              </w:trPr>
              <w:tc>
                <w:tcPr>
                  <w:tcW w:w="65" w:type="dxa"/>
                  <w:vAlign w:val="center"/>
                  <w:hideMark/>
                </w:tcPr>
                <w:p w14:paraId="0F8D31E6" w14:textId="77777777" w:rsidR="00463580" w:rsidRPr="00A52832" w:rsidRDefault="00463580" w:rsidP="00463580">
                  <w:pPr>
                    <w:spacing w:after="0" w:line="240" w:lineRule="auto"/>
                    <w:jc w:val="center"/>
                    <w:rPr>
                      <w:rFonts w:ascii="Times New Roman" w:hAnsi="Times New Roman" w:cs="Times New Roman"/>
                      <w:b/>
                      <w:sz w:val="32"/>
                      <w:szCs w:val="32"/>
                      <w:lang w:val="uz-Cyrl-UZ"/>
                    </w:rPr>
                  </w:pPr>
                </w:p>
              </w:tc>
            </w:tr>
            <w:tr w:rsidR="00463580" w:rsidRPr="00A52832" w14:paraId="4F3A9565" w14:textId="77777777" w:rsidTr="00AE48DB">
              <w:trPr>
                <w:trHeight w:val="704"/>
                <w:tblCellSpacing w:w="15" w:type="dxa"/>
              </w:trPr>
              <w:tc>
                <w:tcPr>
                  <w:tcW w:w="2861" w:type="dxa"/>
                  <w:gridSpan w:val="2"/>
                  <w:vAlign w:val="center"/>
                  <w:hideMark/>
                </w:tcPr>
                <w:p w14:paraId="3C922FA5" w14:textId="0A7DB390" w:rsidR="00463580" w:rsidRPr="00A52832" w:rsidRDefault="00B06361" w:rsidP="00463580">
                  <w:pPr>
                    <w:spacing w:after="0" w:line="240" w:lineRule="auto"/>
                    <w:jc w:val="center"/>
                    <w:rPr>
                      <w:rFonts w:ascii="Times New Roman" w:hAnsi="Times New Roman" w:cs="Times New Roman"/>
                      <w:b/>
                      <w:bCs/>
                      <w:sz w:val="32"/>
                      <w:szCs w:val="32"/>
                      <w:lang w:val="uz-Cyrl-UZ"/>
                    </w:rPr>
                  </w:pPr>
                  <w:proofErr w:type="spellStart"/>
                  <w:r>
                    <w:rPr>
                      <w:rFonts w:ascii="Times New Roman" w:hAnsi="Times New Roman" w:cs="Times New Roman"/>
                      <w:b/>
                      <w:sz w:val="32"/>
                      <w:szCs w:val="32"/>
                    </w:rPr>
                    <w:t>Xalqaro</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lang w:val="en-US"/>
                    </w:rPr>
                    <w:t>tashkilot</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nomi</w:t>
                  </w:r>
                  <w:proofErr w:type="spellEnd"/>
                </w:p>
              </w:tc>
            </w:tr>
          </w:tbl>
          <w:p w14:paraId="37DBC6DE" w14:textId="29DA8C20" w:rsidR="002606EE" w:rsidRPr="00AE48DB" w:rsidRDefault="002606EE" w:rsidP="00311C31">
            <w:pPr>
              <w:jc w:val="center"/>
              <w:rPr>
                <w:rFonts w:ascii="Times New Roman" w:hAnsi="Times New Roman" w:cs="Times New Roman"/>
                <w:b/>
                <w:sz w:val="32"/>
                <w:szCs w:val="32"/>
                <w:lang w:val="en-US"/>
              </w:rPr>
            </w:pPr>
          </w:p>
        </w:tc>
        <w:tc>
          <w:tcPr>
            <w:tcW w:w="6699" w:type="dxa"/>
            <w:shd w:val="clear" w:color="auto" w:fill="9CC2E5" w:themeFill="accent1" w:themeFillTint="99"/>
            <w:vAlign w:val="center"/>
          </w:tcPr>
          <w:p w14:paraId="05690599" w14:textId="5DA8B282" w:rsidR="002606EE" w:rsidRPr="00A52832" w:rsidRDefault="00B06361" w:rsidP="00AE48DB">
            <w:pPr>
              <w:jc w:val="center"/>
              <w:rPr>
                <w:rFonts w:ascii="Times New Roman" w:hAnsi="Times New Roman" w:cs="Times New Roman"/>
                <w:b/>
                <w:sz w:val="32"/>
                <w:szCs w:val="32"/>
                <w:lang w:val="uz-Cyrl-UZ"/>
              </w:rPr>
            </w:pPr>
            <w:proofErr w:type="spellStart"/>
            <w:r w:rsidRPr="00B06361">
              <w:rPr>
                <w:rFonts w:ascii="Times New Roman" w:hAnsi="Times New Roman" w:cs="Times New Roman"/>
                <w:b/>
                <w:sz w:val="32"/>
                <w:szCs w:val="32"/>
                <w:lang w:val="en-US"/>
              </w:rPr>
              <w:t>Faoliyati</w:t>
            </w:r>
            <w:proofErr w:type="spellEnd"/>
            <w:r w:rsidRPr="00B06361">
              <w:rPr>
                <w:rFonts w:ascii="Times New Roman" w:hAnsi="Times New Roman" w:cs="Times New Roman"/>
                <w:b/>
                <w:sz w:val="32"/>
                <w:szCs w:val="32"/>
                <w:lang w:val="en-US"/>
              </w:rPr>
              <w:t xml:space="preserve"> </w:t>
            </w:r>
            <w:proofErr w:type="spellStart"/>
            <w:r w:rsidRPr="00B06361">
              <w:rPr>
                <w:rFonts w:ascii="Times New Roman" w:hAnsi="Times New Roman" w:cs="Times New Roman"/>
                <w:b/>
                <w:sz w:val="32"/>
                <w:szCs w:val="32"/>
                <w:lang w:val="en-US"/>
              </w:rPr>
              <w:t>maqsadi</w:t>
            </w:r>
            <w:proofErr w:type="spellEnd"/>
          </w:p>
        </w:tc>
        <w:tc>
          <w:tcPr>
            <w:tcW w:w="2995" w:type="dxa"/>
            <w:shd w:val="clear" w:color="auto" w:fill="9CC2E5" w:themeFill="accent1" w:themeFillTint="99"/>
            <w:vAlign w:val="center"/>
          </w:tcPr>
          <w:p w14:paraId="2B0D9C8D" w14:textId="77777777" w:rsidR="00B06361" w:rsidRDefault="00B06361" w:rsidP="00B06361">
            <w:pPr>
              <w:jc w:val="center"/>
              <w:rPr>
                <w:rFonts w:ascii="Times New Roman" w:hAnsi="Times New Roman" w:cs="Times New Roman"/>
                <w:b/>
                <w:sz w:val="32"/>
                <w:szCs w:val="32"/>
                <w:lang w:val="en-US"/>
              </w:rPr>
            </w:pPr>
            <w:proofErr w:type="spellStart"/>
            <w:r>
              <w:rPr>
                <w:rFonts w:ascii="Times New Roman" w:hAnsi="Times New Roman" w:cs="Times New Roman"/>
                <w:b/>
                <w:sz w:val="32"/>
                <w:szCs w:val="32"/>
                <w:lang w:val="en-US"/>
              </w:rPr>
              <w:t>Markaziy</w:t>
            </w:r>
            <w:proofErr w:type="spellEnd"/>
            <w:r>
              <w:rPr>
                <w:rFonts w:ascii="Times New Roman" w:hAnsi="Times New Roman" w:cs="Times New Roman"/>
                <w:b/>
                <w:sz w:val="32"/>
                <w:szCs w:val="32"/>
                <w:lang w:val="en-US"/>
              </w:rPr>
              <w:t xml:space="preserve"> bank</w:t>
            </w:r>
          </w:p>
          <w:p w14:paraId="447C9614" w14:textId="443BA3C4" w:rsidR="002606EE" w:rsidRPr="00A52832" w:rsidRDefault="00B06361" w:rsidP="00B06361">
            <w:pPr>
              <w:jc w:val="center"/>
              <w:rPr>
                <w:rFonts w:ascii="Times New Roman" w:hAnsi="Times New Roman" w:cs="Times New Roman"/>
                <w:b/>
                <w:sz w:val="32"/>
                <w:szCs w:val="32"/>
                <w:lang w:val="uz-Cyrl-UZ"/>
              </w:rPr>
            </w:pPr>
            <w:proofErr w:type="spellStart"/>
            <w:r>
              <w:rPr>
                <w:rFonts w:ascii="Times New Roman" w:hAnsi="Times New Roman" w:cs="Times New Roman"/>
                <w:b/>
                <w:sz w:val="32"/>
                <w:szCs w:val="32"/>
                <w:lang w:val="en-US"/>
              </w:rPr>
              <w:t>a’zo</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bo’lgan</w:t>
            </w:r>
            <w:proofErr w:type="spellEnd"/>
            <w:r>
              <w:rPr>
                <w:rFonts w:ascii="Times New Roman" w:hAnsi="Times New Roman" w:cs="Times New Roman"/>
                <w:b/>
                <w:sz w:val="32"/>
                <w:szCs w:val="32"/>
                <w:lang w:val="en-US"/>
              </w:rPr>
              <w:t xml:space="preserve"> </w:t>
            </w:r>
            <w:proofErr w:type="spellStart"/>
            <w:r>
              <w:rPr>
                <w:rFonts w:ascii="Times New Roman" w:hAnsi="Times New Roman" w:cs="Times New Roman"/>
                <w:b/>
                <w:sz w:val="32"/>
                <w:szCs w:val="32"/>
                <w:lang w:val="en-US"/>
              </w:rPr>
              <w:t>sana</w:t>
            </w:r>
            <w:proofErr w:type="spellEnd"/>
          </w:p>
        </w:tc>
      </w:tr>
      <w:tr w:rsidR="00B06361" w:rsidRPr="00A52832" w14:paraId="224A3BBC" w14:textId="77777777" w:rsidTr="00AE48DB">
        <w:trPr>
          <w:trHeight w:val="3648"/>
          <w:jc w:val="center"/>
        </w:trPr>
        <w:tc>
          <w:tcPr>
            <w:tcW w:w="708" w:type="dxa"/>
            <w:vAlign w:val="center"/>
          </w:tcPr>
          <w:p w14:paraId="737065CC" w14:textId="77777777" w:rsidR="00B06361" w:rsidRPr="00A52832" w:rsidRDefault="00B06361" w:rsidP="00B06361">
            <w:pPr>
              <w:pStyle w:val="Default"/>
              <w:jc w:val="center"/>
              <w:rPr>
                <w:sz w:val="28"/>
                <w:szCs w:val="28"/>
                <w:lang w:val="uz-Cyrl-UZ"/>
              </w:rPr>
            </w:pPr>
            <w:r w:rsidRPr="00A52832">
              <w:rPr>
                <w:sz w:val="28"/>
                <w:szCs w:val="28"/>
                <w:lang w:val="uz-Cyrl-UZ"/>
              </w:rPr>
              <w:t>1.</w:t>
            </w:r>
          </w:p>
        </w:tc>
        <w:tc>
          <w:tcPr>
            <w:tcW w:w="4285" w:type="dxa"/>
            <w:vAlign w:val="center"/>
          </w:tcPr>
          <w:p w14:paraId="39FE4569" w14:textId="3F59914B" w:rsidR="00B06361" w:rsidRPr="00A52832" w:rsidRDefault="00B06361" w:rsidP="00B06361">
            <w:pPr>
              <w:pStyle w:val="Default"/>
              <w:jc w:val="center"/>
              <w:rPr>
                <w:sz w:val="28"/>
                <w:szCs w:val="28"/>
                <w:lang w:val="uz-Cyrl-UZ"/>
              </w:rPr>
            </w:pPr>
            <w:proofErr w:type="spellStart"/>
            <w:r>
              <w:rPr>
                <w:sz w:val="28"/>
                <w:szCs w:val="28"/>
                <w:lang w:val="en-US"/>
              </w:rPr>
              <w:t>Moliyaviy</w:t>
            </w:r>
            <w:proofErr w:type="spellEnd"/>
            <w:r>
              <w:rPr>
                <w:sz w:val="28"/>
                <w:szCs w:val="28"/>
                <w:lang w:val="en-US"/>
              </w:rPr>
              <w:t xml:space="preserve"> </w:t>
            </w:r>
            <w:proofErr w:type="spellStart"/>
            <w:r>
              <w:rPr>
                <w:sz w:val="28"/>
                <w:szCs w:val="28"/>
                <w:lang w:val="en-US"/>
              </w:rPr>
              <w:t>ommaboplik</w:t>
            </w:r>
            <w:proofErr w:type="spellEnd"/>
            <w:r>
              <w:rPr>
                <w:sz w:val="28"/>
                <w:szCs w:val="28"/>
                <w:lang w:val="en-US"/>
              </w:rPr>
              <w:t xml:space="preserve"> </w:t>
            </w:r>
            <w:proofErr w:type="spellStart"/>
            <w:r>
              <w:rPr>
                <w:sz w:val="28"/>
                <w:szCs w:val="28"/>
                <w:lang w:val="en-US"/>
              </w:rPr>
              <w:t>alyansi</w:t>
            </w:r>
            <w:proofErr w:type="spellEnd"/>
            <w:r>
              <w:rPr>
                <w:sz w:val="28"/>
                <w:szCs w:val="28"/>
              </w:rPr>
              <w:t xml:space="preserve"> (</w:t>
            </w:r>
            <w:r>
              <w:rPr>
                <w:sz w:val="28"/>
                <w:szCs w:val="28"/>
                <w:lang w:val="en-US"/>
              </w:rPr>
              <w:t>AFI</w:t>
            </w:r>
            <w:r>
              <w:rPr>
                <w:sz w:val="28"/>
                <w:szCs w:val="28"/>
              </w:rPr>
              <w:t>)</w:t>
            </w:r>
          </w:p>
        </w:tc>
        <w:tc>
          <w:tcPr>
            <w:tcW w:w="6699" w:type="dxa"/>
            <w:vAlign w:val="center"/>
          </w:tcPr>
          <w:p w14:paraId="6AB9A230" w14:textId="11DF7A13" w:rsidR="00B06361" w:rsidRPr="00A52832" w:rsidRDefault="00B06361" w:rsidP="00B06361">
            <w:pPr>
              <w:jc w:val="both"/>
              <w:rPr>
                <w:rFonts w:ascii="Times New Roman" w:hAnsi="Times New Roman" w:cs="Times New Roman"/>
                <w:sz w:val="28"/>
                <w:szCs w:val="28"/>
                <w:lang w:val="uz-Cyrl-UZ"/>
              </w:rPr>
            </w:pPr>
            <w:r w:rsidRPr="00B06361">
              <w:rPr>
                <w:rFonts w:ascii="Times New Roman" w:hAnsi="Times New Roman" w:cs="Times New Roman"/>
                <w:sz w:val="28"/>
                <w:szCs w:val="28"/>
                <w:lang w:val="uz-Cyrl-UZ"/>
              </w:rPr>
              <w:t>Butun dunyo boʻylab moliyaviy tartibga soluvchilarning xalqaro tashkiloti boʻlib, uning maqsadi moliyaviy xizmatlardan foydalanish imkoniyatlarini kengaytirish, ularning sifatini yaxshilash va odamlarning moliyaviy farovonligini oshirishdan iborat. AFI moliyaviy ommaboplik sohasida barqaror yechimlarni yaratish uchun o‘z a’zolari o‘rtasida bilim, innovatsion vositalar va ilg‘or tajriba almashishga yordam beradi hamda barqaror rivojlanish maqsadlariga erishishni qo‘llab-quvvatlaydi.</w:t>
            </w:r>
          </w:p>
        </w:tc>
        <w:tc>
          <w:tcPr>
            <w:tcW w:w="2995" w:type="dxa"/>
            <w:vAlign w:val="center"/>
          </w:tcPr>
          <w:p w14:paraId="6E8FEB7E" w14:textId="49E6E2DA"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rPr>
              <w:t>17</w:t>
            </w:r>
            <w:r>
              <w:rPr>
                <w:rFonts w:ascii="Times New Roman" w:hAnsi="Times New Roman" w:cs="Times New Roman"/>
                <w:sz w:val="28"/>
                <w:szCs w:val="28"/>
                <w:lang w:val="en-US"/>
              </w:rPr>
              <w:t>-</w:t>
            </w:r>
            <w:proofErr w:type="spellStart"/>
            <w:r>
              <w:rPr>
                <w:rFonts w:ascii="Times New Roman" w:hAnsi="Times New Roman" w:cs="Times New Roman"/>
                <w:sz w:val="28"/>
                <w:szCs w:val="28"/>
              </w:rPr>
              <w:t>avgust</w:t>
            </w:r>
            <w:proofErr w:type="spellEnd"/>
            <w:r>
              <w:rPr>
                <w:rFonts w:ascii="Times New Roman" w:hAnsi="Times New Roman" w:cs="Times New Roman"/>
                <w:sz w:val="28"/>
                <w:szCs w:val="28"/>
              </w:rPr>
              <w:t xml:space="preserve"> 2018-</w:t>
            </w:r>
            <w:proofErr w:type="spellStart"/>
            <w:r>
              <w:rPr>
                <w:rFonts w:ascii="Times New Roman" w:hAnsi="Times New Roman" w:cs="Times New Roman"/>
                <w:sz w:val="28"/>
                <w:szCs w:val="28"/>
                <w:lang w:val="en-US"/>
              </w:rPr>
              <w:t>yil</w:t>
            </w:r>
            <w:proofErr w:type="spellEnd"/>
          </w:p>
        </w:tc>
      </w:tr>
      <w:tr w:rsidR="00B06361" w:rsidRPr="00A52832" w14:paraId="0268405F" w14:textId="77777777" w:rsidTr="00AE48DB">
        <w:trPr>
          <w:trHeight w:val="801"/>
          <w:jc w:val="center"/>
        </w:trPr>
        <w:tc>
          <w:tcPr>
            <w:tcW w:w="708" w:type="dxa"/>
            <w:vAlign w:val="center"/>
          </w:tcPr>
          <w:p w14:paraId="14E2519F"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2.</w:t>
            </w:r>
          </w:p>
        </w:tc>
        <w:tc>
          <w:tcPr>
            <w:tcW w:w="4285" w:type="dxa"/>
            <w:vAlign w:val="center"/>
          </w:tcPr>
          <w:p w14:paraId="49620EB0" w14:textId="4103AC4A" w:rsidR="00B06361" w:rsidRPr="00A52832" w:rsidRDefault="00B06361" w:rsidP="00B06361">
            <w:pPr>
              <w:jc w:val="center"/>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Markaziy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banklar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nazorat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organlarining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moliyaviy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tizimining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ekologik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tozaligini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oshirish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hamjamiyati</w:t>
            </w:r>
            <w:proofErr w:type="spellEnd"/>
            <w:r>
              <w:rPr>
                <w:rFonts w:ascii="Times New Roman" w:hAnsi="Times New Roman" w:cs="Times New Roman"/>
                <w:sz w:val="28"/>
                <w:szCs w:val="28"/>
                <w:lang w:val="en-US"/>
              </w:rPr>
              <w:t xml:space="preserve"> (NGFS)</w:t>
            </w:r>
          </w:p>
        </w:tc>
        <w:tc>
          <w:tcPr>
            <w:tcW w:w="6699" w:type="dxa"/>
            <w:vAlign w:val="center"/>
          </w:tcPr>
          <w:p w14:paraId="14397F53" w14:textId="77777777" w:rsidR="00B06361" w:rsidRPr="00B06361" w:rsidRDefault="00B06361" w:rsidP="000B3BAF">
            <w:pPr>
              <w:jc w:val="both"/>
              <w:rPr>
                <w:rFonts w:ascii="Times New Roman" w:hAnsi="Times New Roman" w:cs="Times New Roman"/>
                <w:iCs/>
                <w:sz w:val="28"/>
                <w:szCs w:val="28"/>
                <w:lang w:val="uz-Cyrl-UZ"/>
              </w:rPr>
            </w:pPr>
            <w:r w:rsidRPr="00B06361">
              <w:rPr>
                <w:rFonts w:ascii="Times New Roman" w:hAnsi="Times New Roman" w:cs="Times New Roman"/>
                <w:iCs/>
                <w:sz w:val="28"/>
                <w:szCs w:val="28"/>
                <w:lang w:val="uz-Cyrl-UZ"/>
              </w:rPr>
              <w:t>Moliya sektorida ekologiya va iqlim xavfini boshqarishni rivojlantirish hamda asosiy moliyaviy resurslarni barqaror iqtisodiyotga o’tishini qo’llab-quvvatlash uchun yo’naltirilgan markaziy banklar va nazorat organlarining ixtiyoriy birlashmasidir.</w:t>
            </w:r>
          </w:p>
          <w:p w14:paraId="51DA4C2E" w14:textId="44F55E8F" w:rsidR="00B06361" w:rsidRPr="006900EC" w:rsidRDefault="00B06361" w:rsidP="000B3BAF">
            <w:pPr>
              <w:jc w:val="both"/>
              <w:rPr>
                <w:rFonts w:ascii="Times New Roman" w:hAnsi="Times New Roman" w:cs="Times New Roman"/>
                <w:sz w:val="28"/>
                <w:szCs w:val="28"/>
                <w:lang w:val="uz-Cyrl-UZ"/>
              </w:rPr>
            </w:pPr>
          </w:p>
        </w:tc>
        <w:tc>
          <w:tcPr>
            <w:tcW w:w="2995" w:type="dxa"/>
            <w:vAlign w:val="center"/>
          </w:tcPr>
          <w:p w14:paraId="3EA95D2C" w14:textId="450CACE4"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lang w:val="en-US"/>
              </w:rPr>
              <w:t>3-oktyabr 2022-yil</w:t>
            </w:r>
          </w:p>
        </w:tc>
      </w:tr>
      <w:tr w:rsidR="00B06361" w:rsidRPr="00A52832" w14:paraId="5D77B1DA" w14:textId="77777777" w:rsidTr="00AE48DB">
        <w:trPr>
          <w:trHeight w:val="2965"/>
          <w:jc w:val="center"/>
        </w:trPr>
        <w:tc>
          <w:tcPr>
            <w:tcW w:w="708" w:type="dxa"/>
            <w:vAlign w:val="center"/>
          </w:tcPr>
          <w:p w14:paraId="747A38C0"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lastRenderedPageBreak/>
              <w:t>3.</w:t>
            </w:r>
          </w:p>
        </w:tc>
        <w:tc>
          <w:tcPr>
            <w:tcW w:w="4285" w:type="dxa"/>
            <w:vAlign w:val="center"/>
          </w:tcPr>
          <w:p w14:paraId="0FE01F75" w14:textId="464525FC" w:rsidR="00B06361" w:rsidRPr="00A52832" w:rsidRDefault="00B06361" w:rsidP="00B06361">
            <w:pPr>
              <w:jc w:val="center"/>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Xalqaro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moliyaviy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xizmatlar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iste'molchilarining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huquqlarini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himoya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qilish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tashkiloti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FinCoNet</w:t>
            </w:r>
            <w:proofErr w:type="spellEnd"/>
            <w:r>
              <w:rPr>
                <w:rFonts w:ascii="Times New Roman" w:hAnsi="Times New Roman" w:cs="Times New Roman"/>
                <w:sz w:val="28"/>
                <w:szCs w:val="28"/>
                <w:lang w:val="en-US"/>
              </w:rPr>
              <w:t>)</w:t>
            </w:r>
          </w:p>
        </w:tc>
        <w:tc>
          <w:tcPr>
            <w:tcW w:w="6699" w:type="dxa"/>
            <w:vAlign w:val="center"/>
          </w:tcPr>
          <w:p w14:paraId="24237FBB" w14:textId="509BFDD7" w:rsidR="00B06361" w:rsidRPr="00A52832" w:rsidRDefault="00B06361" w:rsidP="00B06361">
            <w:pPr>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A’zo davlatlar regulyatorlari o‘rtasida moliyaviy xizmatlar iste’molchilarining huquqlarining himoya qilish sohasida hamkorlikni yo‘lga qo‘yish, o‘zaro tajriba almashish, mazkur yo‘nalishda erishilgan yutuqlarni ommalashtirish orqali samarali nazorat tizimini </w:t>
            </w:r>
            <w:r w:rsidRPr="00B06361">
              <w:rPr>
                <w:rFonts w:ascii="Times New Roman" w:hAnsi="Times New Roman" w:cs="Times New Roman"/>
                <w:sz w:val="28"/>
                <w:szCs w:val="28"/>
                <w:lang w:val="uz-Cyrl-UZ"/>
              </w:rPr>
              <w:t>joriy eti</w:t>
            </w:r>
            <w:r>
              <w:rPr>
                <w:rFonts w:ascii="Times New Roman" w:hAnsi="Times New Roman" w:cs="Times New Roman"/>
                <w:sz w:val="28"/>
                <w:szCs w:val="28"/>
                <w:lang w:val="uz-Cyrl-UZ"/>
              </w:rPr>
              <w:t xml:space="preserve">shni targ‘ib qiladi, shuningdek olib borilgan izlanish </w:t>
            </w:r>
            <w:r w:rsidRPr="00B06361">
              <w:rPr>
                <w:rFonts w:ascii="Times New Roman" w:hAnsi="Times New Roman" w:cs="Times New Roman"/>
                <w:sz w:val="28"/>
                <w:szCs w:val="28"/>
                <w:lang w:val="uz-Cyrl-UZ"/>
              </w:rPr>
              <w:t>va</w:t>
            </w:r>
            <w:r>
              <w:rPr>
                <w:rFonts w:ascii="Times New Roman" w:hAnsi="Times New Roman" w:cs="Times New Roman"/>
                <w:sz w:val="28"/>
                <w:szCs w:val="28"/>
                <w:lang w:val="uz-Cyrl-UZ"/>
              </w:rPr>
              <w:t xml:space="preserve"> tadqiqotlar natijalari yuzasidan xulosa va tavsiyalarni e’lon qilib boradi.</w:t>
            </w:r>
          </w:p>
        </w:tc>
        <w:tc>
          <w:tcPr>
            <w:tcW w:w="2995" w:type="dxa"/>
            <w:vAlign w:val="center"/>
          </w:tcPr>
          <w:p w14:paraId="00E7F391" w14:textId="60D4D90B"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lang w:val="en-US"/>
              </w:rPr>
              <w:t>12-fevral 2024-yil</w:t>
            </w:r>
          </w:p>
        </w:tc>
      </w:tr>
      <w:tr w:rsidR="00B06361" w:rsidRPr="00A52832" w14:paraId="0F8619B8" w14:textId="77777777" w:rsidTr="00AE48DB">
        <w:trPr>
          <w:trHeight w:val="2963"/>
          <w:jc w:val="center"/>
        </w:trPr>
        <w:tc>
          <w:tcPr>
            <w:tcW w:w="708" w:type="dxa"/>
            <w:vAlign w:val="center"/>
          </w:tcPr>
          <w:p w14:paraId="53EEF088"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4.</w:t>
            </w:r>
          </w:p>
        </w:tc>
        <w:tc>
          <w:tcPr>
            <w:tcW w:w="4285" w:type="dxa"/>
            <w:vAlign w:val="center"/>
          </w:tcPr>
          <w:p w14:paraId="108E6BC6" w14:textId="32DD1827" w:rsidR="00B06361" w:rsidRPr="00A52832" w:rsidRDefault="00B06361" w:rsidP="00B06361">
            <w:pPr>
              <w:jc w:val="center"/>
              <w:rPr>
                <w:rFonts w:ascii="Times New Roman" w:hAnsi="Times New Roman" w:cs="Times New Roman"/>
                <w:sz w:val="28"/>
                <w:szCs w:val="28"/>
                <w:lang w:val="uz-Cyrl-UZ"/>
              </w:rPr>
            </w:pPr>
            <w:proofErr w:type="spellStart"/>
            <w:r>
              <w:rPr>
                <w:rFonts w:ascii="Times New Roman" w:hAnsi="Times New Roman" w:cs="Times New Roman"/>
                <w:sz w:val="28"/>
                <w:szCs w:val="28"/>
              </w:rPr>
              <w:t>Bazel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Maslahatlashuv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Guruhi</w:t>
            </w:r>
            <w:proofErr w:type="spellEnd"/>
            <w:r>
              <w:rPr>
                <w:rFonts w:ascii="Times New Roman" w:hAnsi="Times New Roman" w:cs="Times New Roman"/>
                <w:sz w:val="28"/>
                <w:szCs w:val="28"/>
              </w:rPr>
              <w:t xml:space="preserve"> (BCBS)</w:t>
            </w:r>
          </w:p>
        </w:tc>
        <w:tc>
          <w:tcPr>
            <w:tcW w:w="6699" w:type="dxa"/>
            <w:vAlign w:val="center"/>
          </w:tcPr>
          <w:p w14:paraId="4A1D9A31" w14:textId="77777777" w:rsidR="00B06361" w:rsidRPr="00B06361" w:rsidRDefault="00B06361" w:rsidP="000B3BAF">
            <w:pPr>
              <w:jc w:val="both"/>
              <w:rPr>
                <w:rFonts w:ascii="Times New Roman" w:hAnsi="Times New Roman" w:cs="Times New Roman"/>
                <w:sz w:val="28"/>
                <w:szCs w:val="28"/>
                <w:lang w:val="uz-Cyrl-UZ"/>
              </w:rPr>
            </w:pPr>
            <w:r w:rsidRPr="00B06361">
              <w:rPr>
                <w:rFonts w:ascii="Times New Roman" w:hAnsi="Times New Roman" w:cs="Times New Roman"/>
                <w:sz w:val="28"/>
                <w:szCs w:val="28"/>
                <w:lang w:val="uz-Cyrl-UZ"/>
              </w:rPr>
              <w:t>Bank nazorati bo‘yicha Bazel qo‘mitasi va dunyo bo‘ylab nazorat organlari o’rtasidagi hamkorlikni chuqurlashtirish uchun platforma vazifasini bajaradi. Mazkur guruh Bazel qo‘mitasi a’zosi bo‘lmagan turli mamlakatlar, xalqaro tashkilotlar va mintaqaviy bank nazorati organlari vakillarini jalb qilgan holda yangi tashabbuslar bo‘yicha keng ko‘lamli muloqot maydoni hisoblanadi.</w:t>
            </w:r>
          </w:p>
          <w:p w14:paraId="3DC22993" w14:textId="66F46D9A" w:rsidR="00B06361" w:rsidRPr="002D62E1" w:rsidRDefault="00B06361" w:rsidP="000B3BAF">
            <w:pPr>
              <w:jc w:val="both"/>
              <w:rPr>
                <w:rFonts w:ascii="Times New Roman" w:hAnsi="Times New Roman" w:cs="Times New Roman"/>
                <w:sz w:val="28"/>
                <w:szCs w:val="28"/>
                <w:lang w:val="uz-Cyrl-UZ"/>
              </w:rPr>
            </w:pPr>
          </w:p>
        </w:tc>
        <w:tc>
          <w:tcPr>
            <w:tcW w:w="2995" w:type="dxa"/>
            <w:vAlign w:val="center"/>
          </w:tcPr>
          <w:p w14:paraId="5CC1BD40" w14:textId="61B9E75F"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lang w:val="en-US"/>
              </w:rPr>
              <w:t>8-oktyabr 2024-yil</w:t>
            </w:r>
          </w:p>
        </w:tc>
      </w:tr>
      <w:tr w:rsidR="00B06361" w:rsidRPr="00A52832" w14:paraId="21BBDD76" w14:textId="77777777" w:rsidTr="00AE48DB">
        <w:trPr>
          <w:trHeight w:val="1761"/>
          <w:jc w:val="center"/>
        </w:trPr>
        <w:tc>
          <w:tcPr>
            <w:tcW w:w="708" w:type="dxa"/>
            <w:vAlign w:val="center"/>
          </w:tcPr>
          <w:p w14:paraId="269556AD"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5.</w:t>
            </w:r>
          </w:p>
        </w:tc>
        <w:tc>
          <w:tcPr>
            <w:tcW w:w="4285" w:type="dxa"/>
            <w:vAlign w:val="center"/>
          </w:tcPr>
          <w:p w14:paraId="74B1E833" w14:textId="77777777" w:rsidR="00B06361" w:rsidRPr="00B06361" w:rsidRDefault="00B06361" w:rsidP="00B06361">
            <w:pPr>
              <w:jc w:val="center"/>
              <w:rPr>
                <w:rFonts w:ascii="Times New Roman" w:hAnsi="Times New Roman" w:cs="Times New Roman"/>
                <w:sz w:val="28"/>
                <w:szCs w:val="28"/>
                <w:lang w:val="uz-Cyrl-UZ"/>
              </w:rPr>
            </w:pPr>
            <w:r w:rsidRPr="00B06361">
              <w:rPr>
                <w:rFonts w:ascii="Times New Roman" w:hAnsi="Times New Roman" w:cs="Times New Roman"/>
                <w:sz w:val="28"/>
                <w:szCs w:val="28"/>
                <w:lang w:val="uz-Cyrl-UZ"/>
              </w:rPr>
              <w:t>Islom hamkorlik tashkiloti - Favqulodda vaziyatlarga kompyuter javob guruhi</w:t>
            </w:r>
          </w:p>
          <w:p w14:paraId="6CA52508" w14:textId="6825ED07"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lang w:val="en-US"/>
              </w:rPr>
              <w:t>(OIC-CERT)</w:t>
            </w:r>
          </w:p>
        </w:tc>
        <w:tc>
          <w:tcPr>
            <w:tcW w:w="6699" w:type="dxa"/>
            <w:vAlign w:val="center"/>
          </w:tcPr>
          <w:p w14:paraId="604DB1EA" w14:textId="1B030222" w:rsidR="00B06361" w:rsidRPr="006900EC" w:rsidRDefault="00B06361" w:rsidP="000B3BAF">
            <w:pPr>
              <w:jc w:val="both"/>
              <w:rPr>
                <w:rFonts w:ascii="Times New Roman" w:hAnsi="Times New Roman" w:cs="Times New Roman"/>
                <w:sz w:val="28"/>
                <w:szCs w:val="28"/>
                <w:lang w:val="uz-Cyrl-UZ"/>
              </w:rPr>
            </w:pPr>
            <w:r w:rsidRPr="00B06361">
              <w:rPr>
                <w:rFonts w:ascii="Times New Roman" w:hAnsi="Times New Roman" w:cs="Times New Roman"/>
                <w:sz w:val="28"/>
                <w:szCs w:val="28"/>
                <w:lang w:val="uz-Cyrl-UZ"/>
              </w:rPr>
              <w:t>A'zo tashkilotlarga kiberhujum holatlarida yordam ko'rsatadi, shuningdek, kiberxavfsizlik sohasida yangi yechimlar bo'yicha hamkorlikda ish olib borishni qo'llab-quvvatlaydi.</w:t>
            </w:r>
          </w:p>
        </w:tc>
        <w:tc>
          <w:tcPr>
            <w:tcW w:w="2995" w:type="dxa"/>
            <w:vAlign w:val="center"/>
          </w:tcPr>
          <w:p w14:paraId="1FAF4377" w14:textId="04397E0C" w:rsidR="00B06361" w:rsidRPr="006900EC"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rPr>
              <w:t xml:space="preserve">15 </w:t>
            </w:r>
            <w:proofErr w:type="spellStart"/>
            <w:r>
              <w:rPr>
                <w:rFonts w:ascii="Times New Roman" w:hAnsi="Times New Roman" w:cs="Times New Roman"/>
                <w:sz w:val="28"/>
                <w:szCs w:val="28"/>
                <w:lang w:val="en-US"/>
              </w:rPr>
              <w:t>oktyabr</w:t>
            </w:r>
            <w:proofErr w:type="spellEnd"/>
            <w:r>
              <w:rPr>
                <w:rFonts w:ascii="Times New Roman" w:hAnsi="Times New Roman" w:cs="Times New Roman"/>
                <w:sz w:val="28"/>
                <w:szCs w:val="28"/>
                <w:lang w:val="en-US"/>
              </w:rPr>
              <w:t xml:space="preserve"> 2024-yil</w:t>
            </w:r>
          </w:p>
        </w:tc>
      </w:tr>
      <w:tr w:rsidR="00B06361" w:rsidRPr="00A52832" w14:paraId="25896C4A" w14:textId="77777777" w:rsidTr="00AE48DB">
        <w:trPr>
          <w:trHeight w:val="2115"/>
          <w:jc w:val="center"/>
        </w:trPr>
        <w:tc>
          <w:tcPr>
            <w:tcW w:w="708" w:type="dxa"/>
            <w:vAlign w:val="center"/>
          </w:tcPr>
          <w:p w14:paraId="3F2BB84E"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6.</w:t>
            </w:r>
          </w:p>
        </w:tc>
        <w:tc>
          <w:tcPr>
            <w:tcW w:w="4285" w:type="dxa"/>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gridCol w:w="3745"/>
            </w:tblGrid>
            <w:tr w:rsidR="00B06361" w:rsidRPr="00A52832" w14:paraId="18406387" w14:textId="77777777" w:rsidTr="00AE48DB">
              <w:trPr>
                <w:gridAfter w:val="1"/>
                <w:wAfter w:w="3700" w:type="dxa"/>
                <w:trHeight w:val="137"/>
                <w:tblCellSpacing w:w="15" w:type="dxa"/>
              </w:trPr>
              <w:tc>
                <w:tcPr>
                  <w:tcW w:w="65" w:type="dxa"/>
                  <w:vAlign w:val="center"/>
                  <w:hideMark/>
                </w:tcPr>
                <w:p w14:paraId="61586C52" w14:textId="77777777" w:rsidR="00B06361" w:rsidRPr="00A52832" w:rsidRDefault="00B06361" w:rsidP="00B06361">
                  <w:pPr>
                    <w:spacing w:after="0" w:line="240" w:lineRule="auto"/>
                    <w:jc w:val="center"/>
                    <w:rPr>
                      <w:rFonts w:ascii="Times New Roman" w:hAnsi="Times New Roman" w:cs="Times New Roman"/>
                      <w:sz w:val="28"/>
                      <w:szCs w:val="28"/>
                      <w:lang w:val="uz-Cyrl-UZ"/>
                    </w:rPr>
                  </w:pPr>
                </w:p>
              </w:tc>
            </w:tr>
            <w:tr w:rsidR="00B06361" w:rsidRPr="00A52832" w14:paraId="23582C5E" w14:textId="77777777" w:rsidTr="005005B2">
              <w:trPr>
                <w:trHeight w:val="137"/>
                <w:tblCellSpacing w:w="15" w:type="dxa"/>
              </w:trPr>
              <w:tc>
                <w:tcPr>
                  <w:tcW w:w="3795" w:type="dxa"/>
                  <w:gridSpan w:val="2"/>
                  <w:vAlign w:val="center"/>
                  <w:hideMark/>
                </w:tcPr>
                <w:p w14:paraId="4B660199" w14:textId="356BD9A7" w:rsidR="00B06361" w:rsidRPr="00A52832" w:rsidRDefault="00B06361" w:rsidP="00B06361">
                  <w:pPr>
                    <w:spacing w:after="0" w:line="240" w:lineRule="auto"/>
                    <w:jc w:val="center"/>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Fishingga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qarshi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guruh</w:t>
                  </w:r>
                  <w:proofErr w:type="spellEnd"/>
                  <w:r>
                    <w:rPr>
                      <w:rFonts w:ascii="Times New Roman" w:hAnsi="Times New Roman" w:cs="Times New Roman"/>
                      <w:sz w:val="28"/>
                      <w:szCs w:val="28"/>
                      <w:lang w:val="en-US"/>
                    </w:rPr>
                    <w:t xml:space="preserve"> (APWG)</w:t>
                  </w:r>
                </w:p>
              </w:tc>
            </w:tr>
          </w:tbl>
          <w:p w14:paraId="0B4A6A45" w14:textId="524A8E82" w:rsidR="00B06361" w:rsidRPr="00A52832" w:rsidRDefault="00B06361" w:rsidP="00B06361">
            <w:pPr>
              <w:jc w:val="center"/>
              <w:rPr>
                <w:rFonts w:ascii="Times New Roman" w:hAnsi="Times New Roman" w:cs="Times New Roman"/>
                <w:sz w:val="28"/>
                <w:szCs w:val="28"/>
                <w:lang w:val="uz-Cyrl-UZ"/>
              </w:rPr>
            </w:pPr>
          </w:p>
        </w:tc>
        <w:tc>
          <w:tcPr>
            <w:tcW w:w="6699" w:type="dxa"/>
            <w:vAlign w:val="center"/>
          </w:tcPr>
          <w:p w14:paraId="62C8DD85" w14:textId="77777777" w:rsidR="00B06361" w:rsidRPr="00B06361" w:rsidRDefault="00B06361" w:rsidP="000B3BAF">
            <w:pPr>
              <w:jc w:val="both"/>
              <w:rPr>
                <w:rFonts w:ascii="Times New Roman" w:hAnsi="Times New Roman" w:cs="Times New Roman"/>
                <w:sz w:val="28"/>
                <w:szCs w:val="28"/>
                <w:lang w:val="uz-Cyrl-UZ"/>
              </w:rPr>
            </w:pPr>
            <w:r w:rsidRPr="00B06361">
              <w:rPr>
                <w:rFonts w:ascii="Times New Roman" w:hAnsi="Times New Roman" w:cs="Times New Roman"/>
                <w:sz w:val="28"/>
                <w:szCs w:val="28"/>
                <w:lang w:val="uz-Cyrl-UZ"/>
              </w:rPr>
              <w:t>Internetda ortib borayotgan fishing, elektron pochta xabarlarini buzish va zararli dasturlar orqali shaxsiy ma'lumotlarni o'g'irlash hamda firibgarlik kabi xatti-harakatlarga qarshi kurashuvchi tashkilot hisoblanadi.</w:t>
            </w:r>
          </w:p>
          <w:p w14:paraId="43FE8766" w14:textId="1B7E9939" w:rsidR="00B06361" w:rsidRPr="00A52832" w:rsidRDefault="00B06361" w:rsidP="000B3BAF">
            <w:pPr>
              <w:jc w:val="both"/>
              <w:rPr>
                <w:rFonts w:ascii="Times New Roman" w:hAnsi="Times New Roman" w:cs="Times New Roman"/>
                <w:sz w:val="28"/>
                <w:szCs w:val="28"/>
                <w:lang w:val="uz-Cyrl-UZ"/>
              </w:rPr>
            </w:pPr>
          </w:p>
        </w:tc>
        <w:tc>
          <w:tcPr>
            <w:tcW w:w="2995" w:type="dxa"/>
            <w:vAlign w:val="center"/>
          </w:tcPr>
          <w:p w14:paraId="169D2461" w14:textId="167224B1"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lang w:val="en-US"/>
              </w:rPr>
              <w:t>20-dekabr 2024-yil</w:t>
            </w:r>
          </w:p>
        </w:tc>
      </w:tr>
      <w:tr w:rsidR="00B06361" w:rsidRPr="00A52832" w14:paraId="18B7D2F6" w14:textId="77777777" w:rsidTr="00AE48DB">
        <w:trPr>
          <w:trHeight w:val="2558"/>
          <w:jc w:val="center"/>
        </w:trPr>
        <w:tc>
          <w:tcPr>
            <w:tcW w:w="708" w:type="dxa"/>
            <w:vAlign w:val="center"/>
          </w:tcPr>
          <w:p w14:paraId="240C1E90"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lastRenderedPageBreak/>
              <w:t>7.</w:t>
            </w:r>
          </w:p>
        </w:tc>
        <w:tc>
          <w:tcPr>
            <w:tcW w:w="4285" w:type="dxa"/>
            <w:vAlign w:val="center"/>
          </w:tcPr>
          <w:p w14:paraId="7FFD3F51" w14:textId="5F4A286C" w:rsidR="00B06361" w:rsidRPr="00A52832" w:rsidRDefault="00B06361" w:rsidP="00B06361">
            <w:pPr>
              <w:jc w:val="center"/>
              <w:rPr>
                <w:rFonts w:ascii="Times New Roman" w:hAnsi="Times New Roman" w:cs="Times New Roman"/>
                <w:sz w:val="28"/>
                <w:szCs w:val="28"/>
                <w:lang w:val="uz-Cyrl-UZ"/>
              </w:rPr>
            </w:pPr>
            <w:proofErr w:type="spellStart"/>
            <w:r>
              <w:rPr>
                <w:rFonts w:ascii="Times New Roman" w:hAnsi="Times New Roman" w:cs="Times New Roman"/>
                <w:sz w:val="28"/>
                <w:szCs w:val="28"/>
                <w:lang w:val="en-US"/>
              </w:rPr>
              <w:t>Islom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moliyaviy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xizmatlar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Kengashi</w:t>
            </w:r>
            <w:proofErr w:type="spellEnd"/>
            <w:r>
              <w:rPr>
                <w:rFonts w:ascii="Times New Roman" w:hAnsi="Times New Roman" w:cs="Times New Roman"/>
                <w:sz w:val="28"/>
                <w:szCs w:val="28"/>
                <w:lang w:val="en-US"/>
              </w:rPr>
              <w:t xml:space="preserve"> (IFSB)</w:t>
            </w:r>
          </w:p>
        </w:tc>
        <w:tc>
          <w:tcPr>
            <w:tcW w:w="6699" w:type="dxa"/>
            <w:vAlign w:val="center"/>
          </w:tcPr>
          <w:p w14:paraId="267E6CE4" w14:textId="2DFB08D5" w:rsidR="00B06361" w:rsidRPr="00A52832" w:rsidRDefault="00B06361" w:rsidP="00B06361">
            <w:pPr>
              <w:jc w:val="both"/>
              <w:rPr>
                <w:rFonts w:ascii="Times New Roman" w:hAnsi="Times New Roman" w:cs="Times New Roman"/>
                <w:sz w:val="28"/>
                <w:szCs w:val="28"/>
                <w:lang w:val="uz-Cyrl-UZ"/>
              </w:rPr>
            </w:pPr>
            <w:r w:rsidRPr="00B06361">
              <w:rPr>
                <w:rFonts w:ascii="Times New Roman" w:hAnsi="Times New Roman" w:cs="Times New Roman"/>
                <w:sz w:val="28"/>
                <w:szCs w:val="28"/>
                <w:lang w:val="uz-Cyrl-UZ"/>
              </w:rPr>
              <w:t>Islomiy moliya institutlarini tartibga solish va nazorat qilish bo‘yicha xalqaro standartlarni ishlab chiqish, samarali korporativ boshqaruv mexanizmlari va risk-menejment tizimini joriy etish, shuningdek mazkur sohada kadrlar salo</w:t>
            </w:r>
            <w:bookmarkStart w:id="0" w:name="_GoBack"/>
            <w:bookmarkEnd w:id="0"/>
            <w:r w:rsidRPr="00B06361">
              <w:rPr>
                <w:rFonts w:ascii="Times New Roman" w:hAnsi="Times New Roman" w:cs="Times New Roman"/>
                <w:sz w:val="28"/>
                <w:szCs w:val="28"/>
                <w:lang w:val="uz-Cyrl-UZ"/>
              </w:rPr>
              <w:t>hiyatini oshirish, tadqiqotlar olib borish hamda ushbu masalalarda Kengash a’zolariga texnik ko‘mak taqdim etadi.</w:t>
            </w:r>
          </w:p>
        </w:tc>
        <w:tc>
          <w:tcPr>
            <w:tcW w:w="2995" w:type="dxa"/>
            <w:vAlign w:val="center"/>
          </w:tcPr>
          <w:p w14:paraId="5B243FFE" w14:textId="051CA017"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lang w:val="en-US"/>
              </w:rPr>
              <w:t>23-dekabr 2024-yil</w:t>
            </w:r>
          </w:p>
        </w:tc>
      </w:tr>
      <w:tr w:rsidR="00B06361" w:rsidRPr="00A52832" w14:paraId="2B96A3CA" w14:textId="77777777" w:rsidTr="00AE48DB">
        <w:trPr>
          <w:trHeight w:val="1755"/>
          <w:jc w:val="center"/>
        </w:trPr>
        <w:tc>
          <w:tcPr>
            <w:tcW w:w="708" w:type="dxa"/>
            <w:vAlign w:val="center"/>
          </w:tcPr>
          <w:p w14:paraId="5F24D91E" w14:textId="77777777" w:rsidR="00B06361" w:rsidRPr="00A52832" w:rsidRDefault="00B06361" w:rsidP="00B06361">
            <w:pPr>
              <w:jc w:val="center"/>
              <w:rPr>
                <w:rFonts w:ascii="Times New Roman" w:hAnsi="Times New Roman" w:cs="Times New Roman"/>
                <w:sz w:val="28"/>
                <w:szCs w:val="28"/>
                <w:lang w:val="uz-Cyrl-UZ"/>
              </w:rPr>
            </w:pPr>
            <w:r w:rsidRPr="00A52832">
              <w:rPr>
                <w:rFonts w:ascii="Times New Roman" w:hAnsi="Times New Roman" w:cs="Times New Roman"/>
                <w:sz w:val="28"/>
                <w:szCs w:val="28"/>
                <w:lang w:val="uz-Cyrl-UZ"/>
              </w:rPr>
              <w:t>8.</w:t>
            </w:r>
          </w:p>
        </w:tc>
        <w:tc>
          <w:tcPr>
            <w:tcW w:w="4285" w:type="dxa"/>
            <w:vAlign w:val="center"/>
          </w:tcPr>
          <w:p w14:paraId="23AA451E" w14:textId="74434932" w:rsidR="00B06361" w:rsidRPr="00A52832" w:rsidRDefault="00B06361" w:rsidP="00B06361">
            <w:pPr>
              <w:jc w:val="center"/>
              <w:rPr>
                <w:rFonts w:ascii="Times New Roman" w:hAnsi="Times New Roman" w:cs="Times New Roman"/>
                <w:sz w:val="28"/>
                <w:szCs w:val="28"/>
                <w:lang w:val="uz-Cyrl-UZ"/>
              </w:rPr>
            </w:pPr>
            <w:r w:rsidRPr="00B06361">
              <w:rPr>
                <w:rFonts w:ascii="Times New Roman" w:hAnsi="Times New Roman" w:cs="Times New Roman"/>
                <w:sz w:val="28"/>
                <w:szCs w:val="28"/>
                <w:lang w:val="uz-Cyrl-UZ"/>
              </w:rPr>
              <w:t>Risklarni boshqarish boʼyicha xalqaro ishchi guruh (IORWG)</w:t>
            </w:r>
          </w:p>
        </w:tc>
        <w:tc>
          <w:tcPr>
            <w:tcW w:w="6699" w:type="dxa"/>
            <w:vAlign w:val="center"/>
          </w:tcPr>
          <w:p w14:paraId="1004878F" w14:textId="675371D4" w:rsidR="00B06361" w:rsidRPr="00A52832" w:rsidRDefault="00B06361" w:rsidP="00B06361">
            <w:pPr>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Markaziy banklar uchun risk profilini ishlab chiqish hamda operatsion risklarni boshqarish </w:t>
            </w:r>
            <w:proofErr w:type="spellStart"/>
            <w:r>
              <w:rPr>
                <w:rFonts w:ascii="Times New Roman" w:hAnsi="Times New Roman" w:cs="Times New Roman"/>
                <w:sz w:val="28"/>
                <w:szCs w:val="28"/>
                <w:lang w:val="en-US"/>
              </w:rPr>
              <w:t>bo’yicha</w:t>
            </w:r>
            <w:proofErr w:type="spellEnd"/>
            <w:r>
              <w:rPr>
                <w:rFonts w:ascii="Times New Roman" w:hAnsi="Times New Roman" w:cs="Times New Roman"/>
                <w:sz w:val="28"/>
                <w:szCs w:val="28"/>
                <w:lang w:val="uz-Cyrl-UZ"/>
              </w:rPr>
              <w:t xml:space="preserve"> ilg‘or amaliyotlar</w:t>
            </w:r>
            <w:proofErr w:type="spellStart"/>
            <w:r>
              <w:rPr>
                <w:rFonts w:ascii="Times New Roman" w:hAnsi="Times New Roman" w:cs="Times New Roman"/>
                <w:sz w:val="28"/>
                <w:szCs w:val="28"/>
                <w:lang w:val="en-US"/>
              </w:rPr>
              <w:t>ni</w:t>
            </w:r>
            <w:proofErr w:type="spellEnd"/>
            <w:r>
              <w:rPr>
                <w:rFonts w:ascii="Times New Roman" w:hAnsi="Times New Roman" w:cs="Times New Roman"/>
                <w:sz w:val="28"/>
                <w:szCs w:val="28"/>
                <w:lang w:val="uz-Cyrl-UZ"/>
              </w:rPr>
              <w:t xml:space="preserve"> targ’</w:t>
            </w:r>
            <w:proofErr w:type="spellStart"/>
            <w:r>
              <w:rPr>
                <w:rFonts w:ascii="Times New Roman" w:hAnsi="Times New Roman" w:cs="Times New Roman"/>
                <w:sz w:val="28"/>
                <w:szCs w:val="28"/>
                <w:lang w:val="en-US"/>
              </w:rPr>
              <w:t>ib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qiluvchi</w:t>
            </w:r>
            <w:proofErr w:type="spellEnd"/>
            <w:r>
              <w:rPr>
                <w:rFonts w:ascii="Times New Roman" w:hAnsi="Times New Roman" w:cs="Times New Roman"/>
                <w:sz w:val="28"/>
                <w:szCs w:val="28"/>
                <w:lang w:val="en-US"/>
              </w:rPr>
              <w:t xml:space="preserve"> p</w:t>
            </w:r>
            <w:r>
              <w:rPr>
                <w:rFonts w:ascii="Times New Roman" w:hAnsi="Times New Roman" w:cs="Times New Roman"/>
                <w:sz w:val="28"/>
                <w:szCs w:val="28"/>
                <w:lang w:val="uz-Cyrl-UZ"/>
              </w:rPr>
              <w:t>latforma hisoblanadi.</w:t>
            </w:r>
          </w:p>
        </w:tc>
        <w:tc>
          <w:tcPr>
            <w:tcW w:w="2995" w:type="dxa"/>
            <w:vAlign w:val="center"/>
          </w:tcPr>
          <w:p w14:paraId="18D12C21" w14:textId="2842AEA2" w:rsidR="00B06361" w:rsidRPr="00A52832" w:rsidRDefault="00B06361" w:rsidP="00B06361">
            <w:pPr>
              <w:jc w:val="center"/>
              <w:rPr>
                <w:rFonts w:ascii="Times New Roman" w:hAnsi="Times New Roman" w:cs="Times New Roman"/>
                <w:sz w:val="28"/>
                <w:szCs w:val="28"/>
                <w:lang w:val="uz-Cyrl-UZ"/>
              </w:rPr>
            </w:pPr>
            <w:r>
              <w:rPr>
                <w:rFonts w:ascii="Times New Roman" w:hAnsi="Times New Roman" w:cs="Times New Roman"/>
                <w:sz w:val="28"/>
                <w:szCs w:val="28"/>
              </w:rPr>
              <w:t>25</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dekabr</w:t>
            </w:r>
            <w:proofErr w:type="spellEnd"/>
            <w:r>
              <w:rPr>
                <w:rFonts w:ascii="Times New Roman" w:hAnsi="Times New Roman" w:cs="Times New Roman"/>
                <w:sz w:val="28"/>
                <w:szCs w:val="28"/>
                <w:lang w:val="en-US"/>
              </w:rPr>
              <w:t xml:space="preserve"> 2024-yil</w:t>
            </w:r>
          </w:p>
        </w:tc>
      </w:tr>
    </w:tbl>
    <w:p w14:paraId="4D163FE5" w14:textId="77777777" w:rsidR="0074483D" w:rsidRPr="00AE48DB" w:rsidRDefault="0074483D" w:rsidP="00AE48DB">
      <w:pPr>
        <w:rPr>
          <w:rFonts w:ascii="Times New Roman" w:hAnsi="Times New Roman" w:cs="Times New Roman"/>
          <w:sz w:val="28"/>
          <w:szCs w:val="28"/>
          <w:lang w:val="en-US"/>
        </w:rPr>
      </w:pPr>
    </w:p>
    <w:sectPr w:rsidR="0074483D" w:rsidRPr="00AE48DB" w:rsidSect="00C46D71">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49"/>
    <w:rsid w:val="00017A03"/>
    <w:rsid w:val="000425F2"/>
    <w:rsid w:val="00074934"/>
    <w:rsid w:val="000A47D8"/>
    <w:rsid w:val="000B3BAF"/>
    <w:rsid w:val="001C2492"/>
    <w:rsid w:val="002176C0"/>
    <w:rsid w:val="002606EE"/>
    <w:rsid w:val="00277A49"/>
    <w:rsid w:val="002D62E1"/>
    <w:rsid w:val="00311C31"/>
    <w:rsid w:val="00344A90"/>
    <w:rsid w:val="0036392B"/>
    <w:rsid w:val="00373CFD"/>
    <w:rsid w:val="003848E4"/>
    <w:rsid w:val="003C5B9A"/>
    <w:rsid w:val="003C7623"/>
    <w:rsid w:val="003D2777"/>
    <w:rsid w:val="00463580"/>
    <w:rsid w:val="005005B2"/>
    <w:rsid w:val="005614F9"/>
    <w:rsid w:val="005D009D"/>
    <w:rsid w:val="006058D6"/>
    <w:rsid w:val="006149F3"/>
    <w:rsid w:val="0064314A"/>
    <w:rsid w:val="006900EC"/>
    <w:rsid w:val="006E5A55"/>
    <w:rsid w:val="00704BEF"/>
    <w:rsid w:val="0074483D"/>
    <w:rsid w:val="007A5E1D"/>
    <w:rsid w:val="007B0ACB"/>
    <w:rsid w:val="007B36EA"/>
    <w:rsid w:val="007C7627"/>
    <w:rsid w:val="007F5A8E"/>
    <w:rsid w:val="008354AA"/>
    <w:rsid w:val="008931C5"/>
    <w:rsid w:val="008B0600"/>
    <w:rsid w:val="008C225A"/>
    <w:rsid w:val="008C5713"/>
    <w:rsid w:val="009160AF"/>
    <w:rsid w:val="009A035B"/>
    <w:rsid w:val="00A21C35"/>
    <w:rsid w:val="00A35508"/>
    <w:rsid w:val="00A52832"/>
    <w:rsid w:val="00A8681B"/>
    <w:rsid w:val="00AA4249"/>
    <w:rsid w:val="00AE48DB"/>
    <w:rsid w:val="00B06361"/>
    <w:rsid w:val="00B27796"/>
    <w:rsid w:val="00B328C3"/>
    <w:rsid w:val="00BC489A"/>
    <w:rsid w:val="00C13E4A"/>
    <w:rsid w:val="00C46D71"/>
    <w:rsid w:val="00C628D6"/>
    <w:rsid w:val="00C81A31"/>
    <w:rsid w:val="00CE29E5"/>
    <w:rsid w:val="00D3058F"/>
    <w:rsid w:val="00E06006"/>
    <w:rsid w:val="00EF269A"/>
    <w:rsid w:val="00F57484"/>
    <w:rsid w:val="00F60F05"/>
    <w:rsid w:val="00FA3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164A"/>
  <w15:chartTrackingRefBased/>
  <w15:docId w15:val="{3C54FC37-1AC5-4010-8B6F-EE405CD9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7A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9607">
      <w:bodyDiv w:val="1"/>
      <w:marLeft w:val="0"/>
      <w:marRight w:val="0"/>
      <w:marTop w:val="0"/>
      <w:marBottom w:val="0"/>
      <w:divBdr>
        <w:top w:val="none" w:sz="0" w:space="0" w:color="auto"/>
        <w:left w:val="none" w:sz="0" w:space="0" w:color="auto"/>
        <w:bottom w:val="none" w:sz="0" w:space="0" w:color="auto"/>
        <w:right w:val="none" w:sz="0" w:space="0" w:color="auto"/>
      </w:divBdr>
    </w:div>
    <w:div w:id="256599813">
      <w:bodyDiv w:val="1"/>
      <w:marLeft w:val="0"/>
      <w:marRight w:val="0"/>
      <w:marTop w:val="0"/>
      <w:marBottom w:val="0"/>
      <w:divBdr>
        <w:top w:val="none" w:sz="0" w:space="0" w:color="auto"/>
        <w:left w:val="none" w:sz="0" w:space="0" w:color="auto"/>
        <w:bottom w:val="none" w:sz="0" w:space="0" w:color="auto"/>
        <w:right w:val="none" w:sz="0" w:space="0" w:color="auto"/>
      </w:divBdr>
    </w:div>
    <w:div w:id="470560316">
      <w:bodyDiv w:val="1"/>
      <w:marLeft w:val="0"/>
      <w:marRight w:val="0"/>
      <w:marTop w:val="0"/>
      <w:marBottom w:val="0"/>
      <w:divBdr>
        <w:top w:val="none" w:sz="0" w:space="0" w:color="auto"/>
        <w:left w:val="none" w:sz="0" w:space="0" w:color="auto"/>
        <w:bottom w:val="none" w:sz="0" w:space="0" w:color="auto"/>
        <w:right w:val="none" w:sz="0" w:space="0" w:color="auto"/>
      </w:divBdr>
    </w:div>
    <w:div w:id="497773884">
      <w:bodyDiv w:val="1"/>
      <w:marLeft w:val="0"/>
      <w:marRight w:val="0"/>
      <w:marTop w:val="0"/>
      <w:marBottom w:val="0"/>
      <w:divBdr>
        <w:top w:val="none" w:sz="0" w:space="0" w:color="auto"/>
        <w:left w:val="none" w:sz="0" w:space="0" w:color="auto"/>
        <w:bottom w:val="none" w:sz="0" w:space="0" w:color="auto"/>
        <w:right w:val="none" w:sz="0" w:space="0" w:color="auto"/>
      </w:divBdr>
    </w:div>
    <w:div w:id="799224323">
      <w:bodyDiv w:val="1"/>
      <w:marLeft w:val="0"/>
      <w:marRight w:val="0"/>
      <w:marTop w:val="0"/>
      <w:marBottom w:val="0"/>
      <w:divBdr>
        <w:top w:val="none" w:sz="0" w:space="0" w:color="auto"/>
        <w:left w:val="none" w:sz="0" w:space="0" w:color="auto"/>
        <w:bottom w:val="none" w:sz="0" w:space="0" w:color="auto"/>
        <w:right w:val="none" w:sz="0" w:space="0" w:color="auto"/>
      </w:divBdr>
    </w:div>
    <w:div w:id="1008675446">
      <w:bodyDiv w:val="1"/>
      <w:marLeft w:val="0"/>
      <w:marRight w:val="0"/>
      <w:marTop w:val="0"/>
      <w:marBottom w:val="0"/>
      <w:divBdr>
        <w:top w:val="none" w:sz="0" w:space="0" w:color="auto"/>
        <w:left w:val="none" w:sz="0" w:space="0" w:color="auto"/>
        <w:bottom w:val="none" w:sz="0" w:space="0" w:color="auto"/>
        <w:right w:val="none" w:sz="0" w:space="0" w:color="auto"/>
      </w:divBdr>
    </w:div>
    <w:div w:id="1124537062">
      <w:bodyDiv w:val="1"/>
      <w:marLeft w:val="0"/>
      <w:marRight w:val="0"/>
      <w:marTop w:val="0"/>
      <w:marBottom w:val="0"/>
      <w:divBdr>
        <w:top w:val="none" w:sz="0" w:space="0" w:color="auto"/>
        <w:left w:val="none" w:sz="0" w:space="0" w:color="auto"/>
        <w:bottom w:val="none" w:sz="0" w:space="0" w:color="auto"/>
        <w:right w:val="none" w:sz="0" w:space="0" w:color="auto"/>
      </w:divBdr>
    </w:div>
    <w:div w:id="1303730686">
      <w:bodyDiv w:val="1"/>
      <w:marLeft w:val="0"/>
      <w:marRight w:val="0"/>
      <w:marTop w:val="0"/>
      <w:marBottom w:val="0"/>
      <w:divBdr>
        <w:top w:val="none" w:sz="0" w:space="0" w:color="auto"/>
        <w:left w:val="none" w:sz="0" w:space="0" w:color="auto"/>
        <w:bottom w:val="none" w:sz="0" w:space="0" w:color="auto"/>
        <w:right w:val="none" w:sz="0" w:space="0" w:color="auto"/>
      </w:divBdr>
    </w:div>
    <w:div w:id="1422603214">
      <w:bodyDiv w:val="1"/>
      <w:marLeft w:val="0"/>
      <w:marRight w:val="0"/>
      <w:marTop w:val="0"/>
      <w:marBottom w:val="0"/>
      <w:divBdr>
        <w:top w:val="none" w:sz="0" w:space="0" w:color="auto"/>
        <w:left w:val="none" w:sz="0" w:space="0" w:color="auto"/>
        <w:bottom w:val="none" w:sz="0" w:space="0" w:color="auto"/>
        <w:right w:val="none" w:sz="0" w:space="0" w:color="auto"/>
      </w:divBdr>
    </w:div>
    <w:div w:id="1688675811">
      <w:bodyDiv w:val="1"/>
      <w:marLeft w:val="0"/>
      <w:marRight w:val="0"/>
      <w:marTop w:val="0"/>
      <w:marBottom w:val="0"/>
      <w:divBdr>
        <w:top w:val="none" w:sz="0" w:space="0" w:color="auto"/>
        <w:left w:val="none" w:sz="0" w:space="0" w:color="auto"/>
        <w:bottom w:val="none" w:sz="0" w:space="0" w:color="auto"/>
        <w:right w:val="none" w:sz="0" w:space="0" w:color="auto"/>
      </w:divBdr>
    </w:div>
    <w:div w:id="1868059029">
      <w:bodyDiv w:val="1"/>
      <w:marLeft w:val="0"/>
      <w:marRight w:val="0"/>
      <w:marTop w:val="0"/>
      <w:marBottom w:val="0"/>
      <w:divBdr>
        <w:top w:val="none" w:sz="0" w:space="0" w:color="auto"/>
        <w:left w:val="none" w:sz="0" w:space="0" w:color="auto"/>
        <w:bottom w:val="none" w:sz="0" w:space="0" w:color="auto"/>
        <w:right w:val="none" w:sz="0" w:space="0" w:color="auto"/>
      </w:divBdr>
    </w:div>
    <w:div w:id="1891646784">
      <w:bodyDiv w:val="1"/>
      <w:marLeft w:val="0"/>
      <w:marRight w:val="0"/>
      <w:marTop w:val="0"/>
      <w:marBottom w:val="0"/>
      <w:divBdr>
        <w:top w:val="none" w:sz="0" w:space="0" w:color="auto"/>
        <w:left w:val="none" w:sz="0" w:space="0" w:color="auto"/>
        <w:bottom w:val="none" w:sz="0" w:space="0" w:color="auto"/>
        <w:right w:val="none" w:sz="0" w:space="0" w:color="auto"/>
      </w:divBdr>
    </w:div>
    <w:div w:id="19167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1D71-FE17-47F7-A1BB-2BBD9B90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Odilbekova  Shoxsanamoy Xusanboy qizi</dc:creator>
  <cp:keywords/>
  <dc:description/>
  <cp:lastModifiedBy>m.abdullaev</cp:lastModifiedBy>
  <cp:revision>60</cp:revision>
  <dcterms:created xsi:type="dcterms:W3CDTF">2025-09-10T04:37:00Z</dcterms:created>
  <dcterms:modified xsi:type="dcterms:W3CDTF">2025-12-16T12:22:00Z</dcterms:modified>
</cp:coreProperties>
</file>