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687" w:type="dxa"/>
        <w:jc w:val="center"/>
        <w:tblLayout w:type="fixed"/>
        <w:tblLook w:val="04A0" w:firstRow="1" w:lastRow="0" w:firstColumn="1" w:lastColumn="0" w:noHBand="0" w:noVBand="1"/>
      </w:tblPr>
      <w:tblGrid>
        <w:gridCol w:w="708"/>
        <w:gridCol w:w="4285"/>
        <w:gridCol w:w="6699"/>
        <w:gridCol w:w="2995"/>
      </w:tblGrid>
      <w:tr w:rsidR="002606EE" w:rsidRPr="00A52832" w14:paraId="7A964F62" w14:textId="77777777" w:rsidTr="00AE48DB">
        <w:trPr>
          <w:trHeight w:val="1612"/>
          <w:jc w:val="center"/>
        </w:trPr>
        <w:tc>
          <w:tcPr>
            <w:tcW w:w="708" w:type="dxa"/>
            <w:shd w:val="clear" w:color="auto" w:fill="9CC2E5" w:themeFill="accent1" w:themeFillTint="99"/>
            <w:vAlign w:val="center"/>
          </w:tcPr>
          <w:p w14:paraId="2297E292" w14:textId="77777777" w:rsidR="002606EE" w:rsidRPr="00A52832" w:rsidRDefault="002606EE" w:rsidP="00311C31">
            <w:pPr>
              <w:jc w:val="center"/>
              <w:rPr>
                <w:rFonts w:ascii="Times New Roman" w:hAnsi="Times New Roman" w:cs="Times New Roman"/>
                <w:b/>
                <w:sz w:val="28"/>
                <w:szCs w:val="28"/>
                <w:lang w:val="uz-Cyrl-UZ"/>
              </w:rPr>
            </w:pPr>
            <w:r w:rsidRPr="00A52832">
              <w:rPr>
                <w:rFonts w:ascii="Times New Roman" w:hAnsi="Times New Roman" w:cs="Times New Roman"/>
                <w:b/>
                <w:sz w:val="28"/>
                <w:szCs w:val="28"/>
                <w:lang w:val="uz-Cyrl-UZ"/>
              </w:rPr>
              <w:t>№</w:t>
            </w:r>
          </w:p>
        </w:tc>
        <w:tc>
          <w:tcPr>
            <w:tcW w:w="4285" w:type="dxa"/>
            <w:shd w:val="clear" w:color="auto" w:fill="9CC2E5" w:themeFill="accent1" w:themeFillTint="99"/>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2811"/>
            </w:tblGrid>
            <w:tr w:rsidR="00463580" w:rsidRPr="00A52832" w14:paraId="36BFFE8D" w14:textId="77777777" w:rsidTr="00761E7F">
              <w:trPr>
                <w:gridAfter w:val="1"/>
                <w:wAfter w:w="2766" w:type="dxa"/>
                <w:trHeight w:val="348"/>
                <w:tblCellSpacing w:w="15" w:type="dxa"/>
              </w:trPr>
              <w:tc>
                <w:tcPr>
                  <w:tcW w:w="65" w:type="dxa"/>
                  <w:vAlign w:val="center"/>
                  <w:hideMark/>
                </w:tcPr>
                <w:p w14:paraId="0F8D31E6" w14:textId="77777777" w:rsidR="00463580" w:rsidRPr="00A52832" w:rsidRDefault="00463580" w:rsidP="00463580">
                  <w:pPr>
                    <w:spacing w:after="0" w:line="240" w:lineRule="auto"/>
                    <w:jc w:val="center"/>
                    <w:rPr>
                      <w:rFonts w:ascii="Times New Roman" w:hAnsi="Times New Roman" w:cs="Times New Roman"/>
                      <w:b/>
                      <w:sz w:val="32"/>
                      <w:szCs w:val="32"/>
                      <w:lang w:val="uz-Cyrl-UZ"/>
                    </w:rPr>
                  </w:pPr>
                </w:p>
              </w:tc>
            </w:tr>
            <w:tr w:rsidR="00463580" w:rsidRPr="00A52832" w14:paraId="4F3A9565" w14:textId="77777777" w:rsidTr="00761E7F">
              <w:trPr>
                <w:trHeight w:val="704"/>
                <w:tblCellSpacing w:w="15" w:type="dxa"/>
              </w:trPr>
              <w:tc>
                <w:tcPr>
                  <w:tcW w:w="2861" w:type="dxa"/>
                  <w:gridSpan w:val="2"/>
                  <w:hideMark/>
                </w:tcPr>
                <w:p w14:paraId="3C922FA5" w14:textId="6DC76DDC" w:rsidR="00463580" w:rsidRPr="00A52832" w:rsidRDefault="00463580" w:rsidP="00761E7F">
                  <w:pPr>
                    <w:spacing w:after="0" w:line="240" w:lineRule="auto"/>
                    <w:jc w:val="center"/>
                    <w:rPr>
                      <w:rFonts w:ascii="Times New Roman" w:hAnsi="Times New Roman" w:cs="Times New Roman"/>
                      <w:b/>
                      <w:bCs/>
                      <w:sz w:val="32"/>
                      <w:szCs w:val="32"/>
                      <w:lang w:val="uz-Cyrl-UZ"/>
                    </w:rPr>
                  </w:pPr>
                  <w:r w:rsidRPr="00A52832">
                    <w:rPr>
                      <w:rFonts w:ascii="Times New Roman" w:hAnsi="Times New Roman" w:cs="Times New Roman"/>
                      <w:b/>
                      <w:bCs/>
                      <w:sz w:val="32"/>
                      <w:szCs w:val="32"/>
                      <w:lang w:val="uz-Cyrl-UZ"/>
                    </w:rPr>
                    <w:t xml:space="preserve">Халқаро </w:t>
                  </w:r>
                  <w:r w:rsidR="00AE48DB">
                    <w:rPr>
                      <w:rFonts w:ascii="Times New Roman" w:hAnsi="Times New Roman" w:cs="Times New Roman"/>
                      <w:b/>
                      <w:bCs/>
                      <w:sz w:val="32"/>
                      <w:szCs w:val="32"/>
                      <w:lang w:val="uz-Cyrl-UZ"/>
                    </w:rPr>
                    <w:t>ташкилот</w:t>
                  </w:r>
                  <w:r w:rsidRPr="00A52832">
                    <w:rPr>
                      <w:rFonts w:ascii="Times New Roman" w:hAnsi="Times New Roman" w:cs="Times New Roman"/>
                      <w:b/>
                      <w:bCs/>
                      <w:sz w:val="32"/>
                      <w:szCs w:val="32"/>
                      <w:lang w:val="uz-Cyrl-UZ"/>
                    </w:rPr>
                    <w:t xml:space="preserve"> номи</w:t>
                  </w:r>
                </w:p>
              </w:tc>
            </w:tr>
          </w:tbl>
          <w:p w14:paraId="37DBC6DE" w14:textId="29DA8C20" w:rsidR="002606EE" w:rsidRPr="00AE48DB" w:rsidRDefault="002606EE" w:rsidP="00311C31">
            <w:pPr>
              <w:jc w:val="center"/>
              <w:rPr>
                <w:rFonts w:ascii="Times New Roman" w:hAnsi="Times New Roman" w:cs="Times New Roman"/>
                <w:b/>
                <w:sz w:val="32"/>
                <w:szCs w:val="32"/>
                <w:lang w:val="en-US"/>
              </w:rPr>
            </w:pPr>
          </w:p>
        </w:tc>
        <w:tc>
          <w:tcPr>
            <w:tcW w:w="6699" w:type="dxa"/>
            <w:shd w:val="clear" w:color="auto" w:fill="9CC2E5" w:themeFill="accent1" w:themeFillTint="99"/>
            <w:vAlign w:val="center"/>
          </w:tcPr>
          <w:p w14:paraId="05690599" w14:textId="6599C7A2" w:rsidR="002606EE" w:rsidRPr="00A52832" w:rsidRDefault="00463580" w:rsidP="00AE48DB">
            <w:pPr>
              <w:jc w:val="center"/>
              <w:rPr>
                <w:rFonts w:ascii="Times New Roman" w:hAnsi="Times New Roman" w:cs="Times New Roman"/>
                <w:b/>
                <w:sz w:val="32"/>
                <w:szCs w:val="32"/>
                <w:lang w:val="uz-Cyrl-UZ"/>
              </w:rPr>
            </w:pPr>
            <w:r w:rsidRPr="00A52832">
              <w:rPr>
                <w:rFonts w:ascii="Times New Roman" w:hAnsi="Times New Roman" w:cs="Times New Roman"/>
                <w:b/>
                <w:sz w:val="32"/>
                <w:szCs w:val="32"/>
                <w:lang w:val="uz-Cyrl-UZ"/>
              </w:rPr>
              <w:t>Фаолияти мақсади</w:t>
            </w:r>
          </w:p>
        </w:tc>
        <w:tc>
          <w:tcPr>
            <w:tcW w:w="2995" w:type="dxa"/>
            <w:shd w:val="clear" w:color="auto" w:fill="9CC2E5" w:themeFill="accent1" w:themeFillTint="99"/>
            <w:vAlign w:val="center"/>
          </w:tcPr>
          <w:p w14:paraId="447C9614" w14:textId="0B9441F8" w:rsidR="002606EE" w:rsidRPr="00A52832" w:rsidRDefault="00463580" w:rsidP="00311C31">
            <w:pPr>
              <w:jc w:val="center"/>
              <w:rPr>
                <w:rFonts w:ascii="Times New Roman" w:hAnsi="Times New Roman" w:cs="Times New Roman"/>
                <w:b/>
                <w:sz w:val="32"/>
                <w:szCs w:val="32"/>
                <w:lang w:val="uz-Cyrl-UZ"/>
              </w:rPr>
            </w:pPr>
            <w:r w:rsidRPr="00A52832">
              <w:rPr>
                <w:rFonts w:ascii="Times New Roman" w:hAnsi="Times New Roman" w:cs="Times New Roman"/>
                <w:b/>
                <w:sz w:val="32"/>
                <w:szCs w:val="32"/>
                <w:lang w:val="uz-Cyrl-UZ"/>
              </w:rPr>
              <w:t>Марказий банк аъзо бўлган сана</w:t>
            </w:r>
          </w:p>
        </w:tc>
      </w:tr>
      <w:tr w:rsidR="002606EE" w:rsidRPr="00A52832" w14:paraId="224A3BBC" w14:textId="77777777" w:rsidTr="00AE48DB">
        <w:trPr>
          <w:trHeight w:val="3648"/>
          <w:jc w:val="center"/>
        </w:trPr>
        <w:tc>
          <w:tcPr>
            <w:tcW w:w="708" w:type="dxa"/>
            <w:vAlign w:val="center"/>
          </w:tcPr>
          <w:p w14:paraId="737065CC" w14:textId="77777777" w:rsidR="002606EE" w:rsidRPr="00A52832" w:rsidRDefault="002606EE" w:rsidP="00311C31">
            <w:pPr>
              <w:pStyle w:val="Default"/>
              <w:jc w:val="center"/>
              <w:rPr>
                <w:sz w:val="28"/>
                <w:szCs w:val="28"/>
                <w:lang w:val="uz-Cyrl-UZ"/>
              </w:rPr>
            </w:pPr>
            <w:r w:rsidRPr="00A52832">
              <w:rPr>
                <w:sz w:val="28"/>
                <w:szCs w:val="28"/>
                <w:lang w:val="uz-Cyrl-UZ"/>
              </w:rPr>
              <w:t>1.</w:t>
            </w:r>
          </w:p>
        </w:tc>
        <w:tc>
          <w:tcPr>
            <w:tcW w:w="4285" w:type="dxa"/>
            <w:vAlign w:val="center"/>
          </w:tcPr>
          <w:p w14:paraId="39FE4569" w14:textId="4F846210" w:rsidR="002606EE" w:rsidRPr="00A52832" w:rsidRDefault="00463580" w:rsidP="00311C31">
            <w:pPr>
              <w:pStyle w:val="Default"/>
              <w:jc w:val="center"/>
              <w:rPr>
                <w:sz w:val="28"/>
                <w:szCs w:val="28"/>
                <w:lang w:val="uz-Cyrl-UZ"/>
              </w:rPr>
            </w:pPr>
            <w:r w:rsidRPr="00A52832">
              <w:rPr>
                <w:sz w:val="28"/>
                <w:szCs w:val="28"/>
                <w:lang w:val="uz-Cyrl-UZ"/>
              </w:rPr>
              <w:t xml:space="preserve">Молиявий </w:t>
            </w:r>
            <w:r w:rsidR="00AE48DB">
              <w:rPr>
                <w:sz w:val="28"/>
                <w:szCs w:val="28"/>
                <w:lang w:val="uz-Cyrl-UZ"/>
              </w:rPr>
              <w:t>оммабоплик альянси</w:t>
            </w:r>
            <w:r w:rsidRPr="00A52832">
              <w:rPr>
                <w:sz w:val="28"/>
                <w:szCs w:val="28"/>
                <w:lang w:val="uz-Cyrl-UZ"/>
              </w:rPr>
              <w:t xml:space="preserve"> (AFI)</w:t>
            </w:r>
          </w:p>
        </w:tc>
        <w:tc>
          <w:tcPr>
            <w:tcW w:w="6699" w:type="dxa"/>
            <w:vAlign w:val="center"/>
          </w:tcPr>
          <w:p w14:paraId="6AB9A230" w14:textId="1BA3F8A6" w:rsidR="002606EE" w:rsidRPr="00A52832" w:rsidRDefault="00463580" w:rsidP="00AE48DB">
            <w:pPr>
              <w:jc w:val="both"/>
              <w:rPr>
                <w:rFonts w:ascii="Times New Roman" w:hAnsi="Times New Roman" w:cs="Times New Roman"/>
                <w:sz w:val="28"/>
                <w:szCs w:val="28"/>
                <w:lang w:val="uz-Cyrl-UZ"/>
              </w:rPr>
            </w:pPr>
            <w:r w:rsidRPr="00A52832">
              <w:rPr>
                <w:rFonts w:ascii="Times New Roman" w:hAnsi="Times New Roman" w:cs="Times New Roman"/>
                <w:sz w:val="28"/>
                <w:szCs w:val="28"/>
                <w:lang w:val="uz-Cyrl-UZ"/>
              </w:rPr>
              <w:t xml:space="preserve">Бутун дунё бўйлаб молиявий тартибга солувчиларнинг халқаро ташкилоти бўлиб, унинг мақсади молиявий хизматлардан фойдаланиш имкониятларини кенгайтириш, уларнинг сифатини яхшилаш ва </w:t>
            </w:r>
            <w:r w:rsidR="00AE48DB">
              <w:rPr>
                <w:rFonts w:ascii="Times New Roman" w:hAnsi="Times New Roman" w:cs="Times New Roman"/>
                <w:sz w:val="28"/>
                <w:szCs w:val="28"/>
                <w:lang w:val="uz-Cyrl-UZ"/>
              </w:rPr>
              <w:t>аҳолининг</w:t>
            </w:r>
            <w:r w:rsidRPr="00A52832">
              <w:rPr>
                <w:rFonts w:ascii="Times New Roman" w:hAnsi="Times New Roman" w:cs="Times New Roman"/>
                <w:sz w:val="28"/>
                <w:szCs w:val="28"/>
                <w:lang w:val="uz-Cyrl-UZ"/>
              </w:rPr>
              <w:t xml:space="preserve"> молиявий фаровонлигини оширишдан иборат. AFI молиявий </w:t>
            </w:r>
            <w:r w:rsidR="00AE48DB">
              <w:rPr>
                <w:rFonts w:ascii="Times New Roman" w:hAnsi="Times New Roman" w:cs="Times New Roman"/>
                <w:sz w:val="28"/>
                <w:szCs w:val="28"/>
                <w:lang w:val="uz-Cyrl-UZ"/>
              </w:rPr>
              <w:t>оммабоп</w:t>
            </w:r>
            <w:r w:rsidRPr="00A52832">
              <w:rPr>
                <w:rFonts w:ascii="Times New Roman" w:hAnsi="Times New Roman" w:cs="Times New Roman"/>
                <w:sz w:val="28"/>
                <w:szCs w:val="28"/>
                <w:lang w:val="uz-Cyrl-UZ"/>
              </w:rPr>
              <w:t xml:space="preserve">лик соҳасида барқарор ечимларни яратиш учун ўз аъзолари ўртасида билим, инновацион воситалар ва илғор тажриба алмашишга ёрдам беради ҳамда </w:t>
            </w:r>
            <w:r w:rsidR="00A52832" w:rsidRPr="00A52832">
              <w:rPr>
                <w:rFonts w:ascii="Times New Roman" w:hAnsi="Times New Roman" w:cs="Times New Roman"/>
                <w:sz w:val="28"/>
                <w:szCs w:val="28"/>
                <w:lang w:val="uz-Cyrl-UZ"/>
              </w:rPr>
              <w:t>б</w:t>
            </w:r>
            <w:r w:rsidRPr="00A52832">
              <w:rPr>
                <w:rFonts w:ascii="Times New Roman" w:hAnsi="Times New Roman" w:cs="Times New Roman"/>
                <w:sz w:val="28"/>
                <w:szCs w:val="28"/>
                <w:lang w:val="uz-Cyrl-UZ"/>
              </w:rPr>
              <w:t>арқарор ривожланиш мақсадларига эришишни қўллаб-қувватлайди.</w:t>
            </w:r>
          </w:p>
        </w:tc>
        <w:tc>
          <w:tcPr>
            <w:tcW w:w="2995" w:type="dxa"/>
            <w:vAlign w:val="center"/>
          </w:tcPr>
          <w:p w14:paraId="6E8FEB7E" w14:textId="30CA38EF"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17</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 xml:space="preserve">август </w:t>
            </w:r>
            <w:r w:rsidRPr="00A52832">
              <w:rPr>
                <w:rFonts w:ascii="Times New Roman" w:hAnsi="Times New Roman" w:cs="Times New Roman"/>
                <w:sz w:val="28"/>
                <w:szCs w:val="28"/>
                <w:lang w:val="uz-Cyrl-UZ"/>
              </w:rPr>
              <w:t>2018</w:t>
            </w:r>
            <w:r w:rsidR="000425F2">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r w:rsidR="002606EE" w:rsidRPr="00A52832" w14:paraId="0268405F" w14:textId="77777777" w:rsidTr="00AE48DB">
        <w:trPr>
          <w:trHeight w:val="801"/>
          <w:jc w:val="center"/>
        </w:trPr>
        <w:tc>
          <w:tcPr>
            <w:tcW w:w="708" w:type="dxa"/>
            <w:vAlign w:val="center"/>
          </w:tcPr>
          <w:p w14:paraId="14E2519F"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2.</w:t>
            </w:r>
          </w:p>
        </w:tc>
        <w:tc>
          <w:tcPr>
            <w:tcW w:w="4285" w:type="dxa"/>
            <w:vAlign w:val="center"/>
          </w:tcPr>
          <w:p w14:paraId="49620EB0" w14:textId="7BD7DE22" w:rsidR="002606EE" w:rsidRPr="00A52832" w:rsidRDefault="000A47D8"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Марказий банклар ва назорат органлари молиявий тизимининг экологик тозалигини ошириш ҳамжамияти (NGFS)</w:t>
            </w:r>
          </w:p>
        </w:tc>
        <w:tc>
          <w:tcPr>
            <w:tcW w:w="6699" w:type="dxa"/>
            <w:vAlign w:val="center"/>
          </w:tcPr>
          <w:p w14:paraId="51DA4C2E" w14:textId="7A6177F6" w:rsidR="003848E4" w:rsidRPr="006900EC" w:rsidRDefault="00AE48DB" w:rsidP="00AE48DB">
            <w:pPr>
              <w:jc w:val="both"/>
              <w:rPr>
                <w:rFonts w:ascii="Times New Roman" w:hAnsi="Times New Roman" w:cs="Times New Roman"/>
                <w:sz w:val="28"/>
                <w:szCs w:val="28"/>
                <w:lang w:val="uz-Cyrl-UZ"/>
              </w:rPr>
            </w:pPr>
            <w:r>
              <w:rPr>
                <w:rFonts w:ascii="Times New Roman" w:hAnsi="Times New Roman" w:cs="Times New Roman"/>
                <w:iCs/>
                <w:sz w:val="28"/>
                <w:szCs w:val="28"/>
                <w:lang w:val="uz-Cyrl-UZ"/>
              </w:rPr>
              <w:t>М</w:t>
            </w:r>
            <w:r w:rsidR="000A47D8" w:rsidRPr="00A52832">
              <w:rPr>
                <w:rFonts w:ascii="Times New Roman" w:hAnsi="Times New Roman" w:cs="Times New Roman"/>
                <w:iCs/>
                <w:sz w:val="28"/>
                <w:szCs w:val="28"/>
                <w:lang w:val="uz-Cyrl-UZ"/>
              </w:rPr>
              <w:t>олия секторида экология ва иқлим хавфини бошқаришни ривожлантириш ҳамда асосий молиявий ресурсларни барқарор иқтисодиётга ўтишини қўллаб-қувватлаш учун йўналтирилган марказий банклар ва назорат органларининг ихтиёрий бирлашмасидир.</w:t>
            </w:r>
          </w:p>
        </w:tc>
        <w:tc>
          <w:tcPr>
            <w:tcW w:w="2995" w:type="dxa"/>
            <w:vAlign w:val="center"/>
          </w:tcPr>
          <w:p w14:paraId="3EA95D2C" w14:textId="13E98B11" w:rsidR="002606EE" w:rsidRPr="00A52832" w:rsidRDefault="002176C0"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3</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октябрь</w:t>
            </w:r>
            <w:r w:rsidR="00463580" w:rsidRPr="00A52832">
              <w:rPr>
                <w:rFonts w:ascii="Times New Roman" w:hAnsi="Times New Roman" w:cs="Times New Roman"/>
                <w:b/>
                <w:bCs/>
                <w:sz w:val="28"/>
                <w:szCs w:val="28"/>
                <w:lang w:val="uz-Cyrl-UZ"/>
              </w:rPr>
              <w:t xml:space="preserve"> </w:t>
            </w:r>
            <w:r w:rsidR="002606EE" w:rsidRPr="00A52832">
              <w:rPr>
                <w:rFonts w:ascii="Times New Roman" w:hAnsi="Times New Roman" w:cs="Times New Roman"/>
                <w:sz w:val="28"/>
                <w:szCs w:val="28"/>
                <w:lang w:val="uz-Cyrl-UZ"/>
              </w:rPr>
              <w:t>2022</w:t>
            </w:r>
            <w:r w:rsidR="000425F2">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r w:rsidR="002606EE" w:rsidRPr="00A52832" w14:paraId="5D77B1DA" w14:textId="77777777" w:rsidTr="00AE48DB">
        <w:trPr>
          <w:trHeight w:val="2965"/>
          <w:jc w:val="center"/>
        </w:trPr>
        <w:tc>
          <w:tcPr>
            <w:tcW w:w="708" w:type="dxa"/>
            <w:vAlign w:val="center"/>
          </w:tcPr>
          <w:p w14:paraId="747A38C0"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3.</w:t>
            </w:r>
          </w:p>
        </w:tc>
        <w:tc>
          <w:tcPr>
            <w:tcW w:w="4285" w:type="dxa"/>
            <w:vAlign w:val="center"/>
          </w:tcPr>
          <w:p w14:paraId="0FE01F75" w14:textId="6F7E5737" w:rsidR="002606EE" w:rsidRPr="00A52832" w:rsidRDefault="000A47D8"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Халқаро молиявий хизматлар истеъмолчиларининг ҳуқуқларини ҳимоя қилиш ташкилоти (FinCoNet)</w:t>
            </w:r>
          </w:p>
        </w:tc>
        <w:tc>
          <w:tcPr>
            <w:tcW w:w="6699" w:type="dxa"/>
            <w:vAlign w:val="center"/>
          </w:tcPr>
          <w:p w14:paraId="24237FBB" w14:textId="1C492BC9" w:rsidR="002606EE" w:rsidRPr="00A52832" w:rsidRDefault="000A47D8" w:rsidP="00AE48DB">
            <w:pPr>
              <w:jc w:val="both"/>
              <w:rPr>
                <w:rFonts w:ascii="Times New Roman" w:hAnsi="Times New Roman" w:cs="Times New Roman"/>
                <w:sz w:val="28"/>
                <w:szCs w:val="28"/>
                <w:lang w:val="uz-Cyrl-UZ"/>
              </w:rPr>
            </w:pPr>
            <w:r w:rsidRPr="00A52832">
              <w:rPr>
                <w:rFonts w:ascii="Times New Roman" w:hAnsi="Times New Roman" w:cs="Times New Roman"/>
                <w:sz w:val="28"/>
                <w:szCs w:val="28"/>
                <w:lang w:val="uz-Cyrl-UZ"/>
              </w:rPr>
              <w:t>Аъзо давлатлар регуляторлари ўртасида молиявий хизматлар истеъмолчиларининг ҳуқуқларини ҳимоя қилиш соҳасида ҳамкорликни йўлга қў</w:t>
            </w:r>
            <w:r w:rsidR="005005B2">
              <w:rPr>
                <w:rFonts w:ascii="Times New Roman" w:hAnsi="Times New Roman" w:cs="Times New Roman"/>
                <w:sz w:val="28"/>
                <w:szCs w:val="28"/>
                <w:lang w:val="uz-Cyrl-UZ"/>
              </w:rPr>
              <w:t>йиш</w:t>
            </w:r>
            <w:r w:rsidRPr="00A52832">
              <w:rPr>
                <w:rFonts w:ascii="Times New Roman" w:hAnsi="Times New Roman" w:cs="Times New Roman"/>
                <w:sz w:val="28"/>
                <w:szCs w:val="28"/>
                <w:lang w:val="uz-Cyrl-UZ"/>
              </w:rPr>
              <w:t>, ўзаро тажриба алмаши</w:t>
            </w:r>
            <w:r w:rsidR="005005B2">
              <w:rPr>
                <w:rFonts w:ascii="Times New Roman" w:hAnsi="Times New Roman" w:cs="Times New Roman"/>
                <w:sz w:val="28"/>
                <w:szCs w:val="28"/>
                <w:lang w:val="uz-Cyrl-UZ"/>
              </w:rPr>
              <w:t>ш</w:t>
            </w:r>
            <w:r w:rsidRPr="00A52832">
              <w:rPr>
                <w:rFonts w:ascii="Times New Roman" w:hAnsi="Times New Roman" w:cs="Times New Roman"/>
                <w:sz w:val="28"/>
                <w:szCs w:val="28"/>
                <w:lang w:val="uz-Cyrl-UZ"/>
              </w:rPr>
              <w:t>, мазкур йўналишда эришилган ютуқларни оммалаштириш орқали самарали назорат тизимини жорий этишни тарғиб қилади, шунингдек, олиб борилган изланиш ва тадқиқотлар натижалари юзасидан хулоса ва тавсияларни эълон қилиб боради.</w:t>
            </w:r>
          </w:p>
        </w:tc>
        <w:tc>
          <w:tcPr>
            <w:tcW w:w="2995" w:type="dxa"/>
            <w:vAlign w:val="center"/>
          </w:tcPr>
          <w:p w14:paraId="00E7F391" w14:textId="7773EDEA"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12</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 xml:space="preserve">февраль </w:t>
            </w:r>
            <w:r w:rsidRPr="00A52832">
              <w:rPr>
                <w:rFonts w:ascii="Times New Roman" w:hAnsi="Times New Roman" w:cs="Times New Roman"/>
                <w:sz w:val="28"/>
                <w:szCs w:val="28"/>
                <w:lang w:val="uz-Cyrl-UZ"/>
              </w:rPr>
              <w:t>2024</w:t>
            </w:r>
            <w:r w:rsidR="000425F2">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r w:rsidR="002606EE" w:rsidRPr="00A52832" w14:paraId="0F8619B8" w14:textId="77777777" w:rsidTr="00AE48DB">
        <w:trPr>
          <w:trHeight w:val="2963"/>
          <w:jc w:val="center"/>
        </w:trPr>
        <w:tc>
          <w:tcPr>
            <w:tcW w:w="708" w:type="dxa"/>
            <w:vAlign w:val="center"/>
          </w:tcPr>
          <w:p w14:paraId="53EEF088"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lastRenderedPageBreak/>
              <w:t>4.</w:t>
            </w:r>
          </w:p>
        </w:tc>
        <w:tc>
          <w:tcPr>
            <w:tcW w:w="4285" w:type="dxa"/>
            <w:vAlign w:val="center"/>
          </w:tcPr>
          <w:p w14:paraId="108E6BC6" w14:textId="333CE80C" w:rsidR="002606EE" w:rsidRPr="00A52832" w:rsidRDefault="000A47D8"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Базель</w:t>
            </w:r>
            <w:r w:rsidR="006E5A55" w:rsidRPr="00A52832">
              <w:rPr>
                <w:rFonts w:ascii="Times New Roman" w:hAnsi="Times New Roman" w:cs="Times New Roman"/>
                <w:sz w:val="28"/>
                <w:szCs w:val="28"/>
                <w:lang w:val="uz-Cyrl-UZ"/>
              </w:rPr>
              <w:t xml:space="preserve"> Маслаҳатлашув гуруҳи</w:t>
            </w:r>
            <w:r w:rsidRPr="00A52832">
              <w:rPr>
                <w:rFonts w:ascii="Times New Roman" w:hAnsi="Times New Roman" w:cs="Times New Roman"/>
                <w:sz w:val="28"/>
                <w:szCs w:val="28"/>
                <w:lang w:val="uz-Cyrl-UZ"/>
              </w:rPr>
              <w:t xml:space="preserve"> (BCBS)</w:t>
            </w:r>
          </w:p>
        </w:tc>
        <w:tc>
          <w:tcPr>
            <w:tcW w:w="6699" w:type="dxa"/>
            <w:vAlign w:val="center"/>
          </w:tcPr>
          <w:p w14:paraId="3DC22993" w14:textId="2D9F21B8" w:rsidR="000425F2" w:rsidRPr="002D62E1" w:rsidRDefault="005005B2" w:rsidP="00AE48DB">
            <w:pPr>
              <w:jc w:val="both"/>
              <w:rPr>
                <w:rFonts w:ascii="Times New Roman" w:hAnsi="Times New Roman" w:cs="Times New Roman"/>
                <w:sz w:val="28"/>
                <w:szCs w:val="28"/>
                <w:lang w:val="uz-Cyrl-UZ"/>
              </w:rPr>
            </w:pPr>
            <w:r>
              <w:rPr>
                <w:rFonts w:ascii="Times New Roman" w:hAnsi="Times New Roman" w:cs="Times New Roman"/>
                <w:sz w:val="28"/>
                <w:szCs w:val="28"/>
                <w:lang w:val="uz-Cyrl-UZ"/>
              </w:rPr>
              <w:t>Б</w:t>
            </w:r>
            <w:r w:rsidRPr="00A52832">
              <w:rPr>
                <w:rFonts w:ascii="Times New Roman" w:hAnsi="Times New Roman" w:cs="Times New Roman"/>
                <w:sz w:val="28"/>
                <w:szCs w:val="28"/>
                <w:lang w:val="uz-Cyrl-UZ"/>
              </w:rPr>
              <w:t>анк назорати</w:t>
            </w:r>
            <w:r>
              <w:rPr>
                <w:rFonts w:ascii="Times New Roman" w:hAnsi="Times New Roman" w:cs="Times New Roman"/>
                <w:sz w:val="28"/>
                <w:szCs w:val="28"/>
                <w:lang w:val="uz-Cyrl-UZ"/>
              </w:rPr>
              <w:t xml:space="preserve"> бўйича</w:t>
            </w:r>
            <w:r w:rsidRPr="00A52832">
              <w:rPr>
                <w:rFonts w:ascii="Times New Roman" w:hAnsi="Times New Roman" w:cs="Times New Roman"/>
                <w:sz w:val="28"/>
                <w:szCs w:val="28"/>
                <w:lang w:val="uz-Cyrl-UZ"/>
              </w:rPr>
              <w:t xml:space="preserve"> </w:t>
            </w:r>
            <w:r w:rsidR="000A47D8" w:rsidRPr="00A52832">
              <w:rPr>
                <w:rFonts w:ascii="Times New Roman" w:hAnsi="Times New Roman" w:cs="Times New Roman"/>
                <w:sz w:val="28"/>
                <w:szCs w:val="28"/>
                <w:lang w:val="uz-Cyrl-UZ"/>
              </w:rPr>
              <w:t>Базель қўмитаси ва дунё бўйлаб назорат органлари ўртасидаги ҳамкорликни чуқурлаштириш учун платформа вазифасини бажаради. Мазкур гуруҳ Базель қўмитаси аъзоси бўлмаган турли мамлакатлар, халқаро ташкилотлар ва минтақавий банк назорати органлари вакилларини жалб қилган ҳолда янги ташаббуслар бўйича кенг кўламли мулоқот майдони ҳисобланади.</w:t>
            </w:r>
          </w:p>
        </w:tc>
        <w:tc>
          <w:tcPr>
            <w:tcW w:w="2995" w:type="dxa"/>
            <w:vAlign w:val="center"/>
          </w:tcPr>
          <w:p w14:paraId="5CC1BD40" w14:textId="4D4C422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8</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 xml:space="preserve">октябрь </w:t>
            </w:r>
            <w:r w:rsidRPr="00A52832">
              <w:rPr>
                <w:rFonts w:ascii="Times New Roman" w:hAnsi="Times New Roman" w:cs="Times New Roman"/>
                <w:sz w:val="28"/>
                <w:szCs w:val="28"/>
                <w:lang w:val="uz-Cyrl-UZ"/>
              </w:rPr>
              <w:t>2024</w:t>
            </w:r>
            <w:r w:rsidR="000425F2">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r w:rsidR="002606EE" w:rsidRPr="00A52832" w14:paraId="21BBDD76" w14:textId="77777777" w:rsidTr="00AE48DB">
        <w:trPr>
          <w:trHeight w:val="1761"/>
          <w:jc w:val="center"/>
        </w:trPr>
        <w:tc>
          <w:tcPr>
            <w:tcW w:w="708" w:type="dxa"/>
            <w:vAlign w:val="center"/>
          </w:tcPr>
          <w:p w14:paraId="269556AD"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5.</w:t>
            </w:r>
          </w:p>
        </w:tc>
        <w:tc>
          <w:tcPr>
            <w:tcW w:w="4285" w:type="dxa"/>
            <w:vAlign w:val="center"/>
          </w:tcPr>
          <w:p w14:paraId="6CA52508" w14:textId="7B4F1B66" w:rsidR="002606EE" w:rsidRPr="00A52832" w:rsidRDefault="000A47D8" w:rsidP="000425F2">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 xml:space="preserve">Ислом ҳамкорлик ташкилоти </w:t>
            </w:r>
            <w:r w:rsidR="005005B2">
              <w:rPr>
                <w:rFonts w:ascii="Times New Roman" w:hAnsi="Times New Roman" w:cs="Times New Roman"/>
                <w:sz w:val="28"/>
                <w:szCs w:val="28"/>
                <w:lang w:val="uz-Cyrl-UZ"/>
              </w:rPr>
              <w:t>–</w:t>
            </w:r>
            <w:r w:rsidRPr="00A52832">
              <w:rPr>
                <w:rFonts w:ascii="Times New Roman" w:hAnsi="Times New Roman" w:cs="Times New Roman"/>
                <w:sz w:val="28"/>
                <w:szCs w:val="28"/>
                <w:lang w:val="uz-Cyrl-UZ"/>
              </w:rPr>
              <w:t xml:space="preserve"> Фавқулодда вазиятларга компьютер жавоб гуруҳи</w:t>
            </w:r>
            <w:r w:rsidR="00EB3797" w:rsidRPr="00761E7F">
              <w:rPr>
                <w:rFonts w:ascii="Times New Roman" w:hAnsi="Times New Roman" w:cs="Times New Roman"/>
                <w:sz w:val="28"/>
                <w:szCs w:val="28"/>
                <w:lang w:val="uz-Cyrl-UZ"/>
              </w:rPr>
              <w:br/>
            </w:r>
            <w:r w:rsidRPr="00A52832">
              <w:rPr>
                <w:rFonts w:ascii="Times New Roman" w:hAnsi="Times New Roman" w:cs="Times New Roman"/>
                <w:sz w:val="28"/>
                <w:szCs w:val="28"/>
                <w:lang w:val="uz-Cyrl-UZ"/>
              </w:rPr>
              <w:t>(OIC-CERT)</w:t>
            </w:r>
          </w:p>
        </w:tc>
        <w:tc>
          <w:tcPr>
            <w:tcW w:w="6699" w:type="dxa"/>
            <w:vAlign w:val="center"/>
          </w:tcPr>
          <w:p w14:paraId="604DB1EA" w14:textId="78E1BD78" w:rsidR="00A21C35" w:rsidRPr="006900EC" w:rsidRDefault="000A47D8" w:rsidP="00AE48DB">
            <w:pPr>
              <w:jc w:val="both"/>
              <w:rPr>
                <w:rFonts w:ascii="Times New Roman" w:hAnsi="Times New Roman" w:cs="Times New Roman"/>
                <w:sz w:val="28"/>
                <w:szCs w:val="28"/>
                <w:lang w:val="uz-Cyrl-UZ"/>
              </w:rPr>
            </w:pPr>
            <w:r w:rsidRPr="006900EC">
              <w:rPr>
                <w:rFonts w:ascii="Times New Roman" w:hAnsi="Times New Roman" w:cs="Times New Roman"/>
                <w:sz w:val="28"/>
                <w:szCs w:val="28"/>
                <w:lang w:val="uz-Cyrl-UZ"/>
              </w:rPr>
              <w:t>Аъзо ташкилотларга киберҳужум ҳолатларида ёрдам кўрсатади, шунингдек, киберхавфсизлик соҳасида янги ечимлар бўйича ҳамкорликда иш олиб боришни қўллаб-қувватлайди.</w:t>
            </w:r>
          </w:p>
        </w:tc>
        <w:tc>
          <w:tcPr>
            <w:tcW w:w="2995" w:type="dxa"/>
            <w:vAlign w:val="center"/>
          </w:tcPr>
          <w:p w14:paraId="1FAF4377" w14:textId="272DD07A" w:rsidR="002606EE" w:rsidRPr="006900EC" w:rsidRDefault="00704BEF" w:rsidP="00311C31">
            <w:pPr>
              <w:jc w:val="center"/>
              <w:rPr>
                <w:rFonts w:ascii="Times New Roman" w:hAnsi="Times New Roman" w:cs="Times New Roman"/>
                <w:sz w:val="28"/>
                <w:szCs w:val="28"/>
                <w:lang w:val="uz-Cyrl-UZ"/>
              </w:rPr>
            </w:pPr>
            <w:r w:rsidRPr="006900EC">
              <w:rPr>
                <w:rFonts w:ascii="Times New Roman" w:hAnsi="Times New Roman" w:cs="Times New Roman"/>
                <w:sz w:val="28"/>
                <w:szCs w:val="28"/>
                <w:lang w:val="uz-Cyrl-UZ"/>
              </w:rPr>
              <w:t>1</w:t>
            </w:r>
            <w:r w:rsidR="006900EC" w:rsidRPr="006900EC">
              <w:rPr>
                <w:rFonts w:ascii="Times New Roman" w:hAnsi="Times New Roman" w:cs="Times New Roman"/>
                <w:sz w:val="28"/>
                <w:szCs w:val="28"/>
                <w:lang w:val="uz-Cyrl-UZ"/>
              </w:rPr>
              <w:t>5</w:t>
            </w:r>
            <w:r w:rsidR="002D62E1" w:rsidRPr="006900EC">
              <w:rPr>
                <w:rFonts w:ascii="Times New Roman" w:hAnsi="Times New Roman" w:cs="Times New Roman"/>
                <w:sz w:val="28"/>
                <w:szCs w:val="28"/>
                <w:lang w:val="en-US"/>
              </w:rPr>
              <w:t xml:space="preserve"> </w:t>
            </w:r>
            <w:r w:rsidR="00463580" w:rsidRPr="006900EC">
              <w:rPr>
                <w:rFonts w:ascii="Times New Roman" w:hAnsi="Times New Roman" w:cs="Times New Roman"/>
                <w:sz w:val="28"/>
                <w:szCs w:val="28"/>
                <w:lang w:val="uz-Cyrl-UZ"/>
              </w:rPr>
              <w:t xml:space="preserve">октябрь </w:t>
            </w:r>
            <w:r w:rsidR="002606EE" w:rsidRPr="006900EC">
              <w:rPr>
                <w:rFonts w:ascii="Times New Roman" w:hAnsi="Times New Roman" w:cs="Times New Roman"/>
                <w:sz w:val="28"/>
                <w:szCs w:val="28"/>
                <w:lang w:val="uz-Cyrl-UZ"/>
              </w:rPr>
              <w:t>2024</w:t>
            </w:r>
            <w:r w:rsidR="000425F2" w:rsidRPr="006900EC">
              <w:rPr>
                <w:rFonts w:ascii="Times New Roman" w:hAnsi="Times New Roman" w:cs="Times New Roman"/>
                <w:sz w:val="28"/>
                <w:szCs w:val="28"/>
                <w:lang w:val="en-US"/>
              </w:rPr>
              <w:t xml:space="preserve"> </w:t>
            </w:r>
            <w:r w:rsidR="00463580" w:rsidRPr="006900EC">
              <w:rPr>
                <w:rFonts w:ascii="Times New Roman" w:hAnsi="Times New Roman" w:cs="Times New Roman"/>
                <w:sz w:val="28"/>
                <w:szCs w:val="28"/>
                <w:lang w:val="uz-Cyrl-UZ"/>
              </w:rPr>
              <w:t>йил</w:t>
            </w:r>
          </w:p>
        </w:tc>
      </w:tr>
      <w:tr w:rsidR="002606EE" w:rsidRPr="00A52832" w14:paraId="25896C4A" w14:textId="77777777" w:rsidTr="00AE48DB">
        <w:trPr>
          <w:trHeight w:val="2115"/>
          <w:jc w:val="center"/>
        </w:trPr>
        <w:tc>
          <w:tcPr>
            <w:tcW w:w="708" w:type="dxa"/>
            <w:vAlign w:val="center"/>
          </w:tcPr>
          <w:p w14:paraId="3F2BB84E"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6.</w:t>
            </w:r>
          </w:p>
        </w:tc>
        <w:tc>
          <w:tcPr>
            <w:tcW w:w="4285"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3745"/>
            </w:tblGrid>
            <w:tr w:rsidR="000A47D8" w:rsidRPr="00A52832" w14:paraId="18406387" w14:textId="77777777" w:rsidTr="00AE48DB">
              <w:trPr>
                <w:gridAfter w:val="1"/>
                <w:wAfter w:w="3700" w:type="dxa"/>
                <w:trHeight w:val="137"/>
                <w:tblCellSpacing w:w="15" w:type="dxa"/>
              </w:trPr>
              <w:tc>
                <w:tcPr>
                  <w:tcW w:w="65" w:type="dxa"/>
                  <w:vAlign w:val="center"/>
                  <w:hideMark/>
                </w:tcPr>
                <w:p w14:paraId="61586C52" w14:textId="77777777" w:rsidR="000A47D8" w:rsidRPr="00A52832" w:rsidRDefault="000A47D8" w:rsidP="000A47D8">
                  <w:pPr>
                    <w:spacing w:after="0" w:line="240" w:lineRule="auto"/>
                    <w:jc w:val="center"/>
                    <w:rPr>
                      <w:rFonts w:ascii="Times New Roman" w:hAnsi="Times New Roman" w:cs="Times New Roman"/>
                      <w:sz w:val="28"/>
                      <w:szCs w:val="28"/>
                      <w:lang w:val="uz-Cyrl-UZ"/>
                    </w:rPr>
                  </w:pPr>
                </w:p>
              </w:tc>
            </w:tr>
            <w:tr w:rsidR="000A47D8" w:rsidRPr="00A52832" w14:paraId="23582C5E" w14:textId="77777777" w:rsidTr="005005B2">
              <w:trPr>
                <w:trHeight w:val="137"/>
                <w:tblCellSpacing w:w="15" w:type="dxa"/>
              </w:trPr>
              <w:tc>
                <w:tcPr>
                  <w:tcW w:w="3795" w:type="dxa"/>
                  <w:gridSpan w:val="2"/>
                  <w:vAlign w:val="center"/>
                  <w:hideMark/>
                </w:tcPr>
                <w:p w14:paraId="4B660199" w14:textId="77777777" w:rsidR="000A47D8" w:rsidRPr="00A52832" w:rsidRDefault="000A47D8" w:rsidP="000A47D8">
                  <w:pPr>
                    <w:spacing w:after="0" w:line="240" w:lineRule="auto"/>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Фишингга қарши гуруҳ (APWG)</w:t>
                  </w:r>
                </w:p>
              </w:tc>
            </w:tr>
          </w:tbl>
          <w:p w14:paraId="0B4A6A45" w14:textId="524A8E82" w:rsidR="002606EE" w:rsidRPr="00A52832" w:rsidRDefault="002606EE" w:rsidP="00311C31">
            <w:pPr>
              <w:jc w:val="center"/>
              <w:rPr>
                <w:rFonts w:ascii="Times New Roman" w:hAnsi="Times New Roman" w:cs="Times New Roman"/>
                <w:sz w:val="28"/>
                <w:szCs w:val="28"/>
                <w:lang w:val="uz-Cyrl-UZ"/>
              </w:rPr>
            </w:pPr>
          </w:p>
        </w:tc>
        <w:tc>
          <w:tcPr>
            <w:tcW w:w="6699" w:type="dxa"/>
            <w:vAlign w:val="center"/>
          </w:tcPr>
          <w:p w14:paraId="43FE8766" w14:textId="3E2F73E9" w:rsidR="00311C31" w:rsidRPr="00A52832" w:rsidRDefault="000A47D8" w:rsidP="00AE48DB">
            <w:pPr>
              <w:jc w:val="both"/>
              <w:rPr>
                <w:rFonts w:ascii="Times New Roman" w:hAnsi="Times New Roman" w:cs="Times New Roman"/>
                <w:sz w:val="28"/>
                <w:szCs w:val="28"/>
                <w:lang w:val="uz-Cyrl-UZ"/>
              </w:rPr>
            </w:pPr>
            <w:r w:rsidRPr="00A52832">
              <w:rPr>
                <w:rFonts w:ascii="Times New Roman" w:hAnsi="Times New Roman" w:cs="Times New Roman"/>
                <w:sz w:val="28"/>
                <w:szCs w:val="28"/>
                <w:lang w:val="uz-Cyrl-UZ"/>
              </w:rPr>
              <w:t>Интернетда ортиб бораётган фишинг, электрон почтани бузиш ва зарарли дастурлар орқали шахсий маълумотларни ўғирлаш ҳамда фирибгарлик каби хатти-ҳаракатларга қарши кураш</w:t>
            </w:r>
            <w:r w:rsidR="005005B2">
              <w:rPr>
                <w:rFonts w:ascii="Times New Roman" w:hAnsi="Times New Roman" w:cs="Times New Roman"/>
                <w:sz w:val="28"/>
                <w:szCs w:val="28"/>
                <w:lang w:val="uz-Cyrl-UZ"/>
              </w:rPr>
              <w:t xml:space="preserve">увчи </w:t>
            </w:r>
            <w:r w:rsidRPr="00A52832">
              <w:rPr>
                <w:rFonts w:ascii="Times New Roman" w:hAnsi="Times New Roman" w:cs="Times New Roman"/>
                <w:sz w:val="28"/>
                <w:szCs w:val="28"/>
                <w:lang w:val="uz-Cyrl-UZ"/>
              </w:rPr>
              <w:t>ташкилот</w:t>
            </w:r>
            <w:r w:rsidR="005005B2">
              <w:rPr>
                <w:rFonts w:ascii="Times New Roman" w:hAnsi="Times New Roman" w:cs="Times New Roman"/>
                <w:sz w:val="28"/>
                <w:szCs w:val="28"/>
                <w:lang w:val="uz-Cyrl-UZ"/>
              </w:rPr>
              <w:t xml:space="preserve"> ҳисобланади</w:t>
            </w:r>
            <w:r w:rsidRPr="00A52832">
              <w:rPr>
                <w:rFonts w:ascii="Times New Roman" w:hAnsi="Times New Roman" w:cs="Times New Roman"/>
                <w:sz w:val="28"/>
                <w:szCs w:val="28"/>
                <w:lang w:val="uz-Cyrl-UZ"/>
              </w:rPr>
              <w:t>.</w:t>
            </w:r>
          </w:p>
        </w:tc>
        <w:tc>
          <w:tcPr>
            <w:tcW w:w="2995" w:type="dxa"/>
            <w:vAlign w:val="center"/>
          </w:tcPr>
          <w:p w14:paraId="169D2461" w14:textId="27654FB2"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20</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 xml:space="preserve">декабрь </w:t>
            </w:r>
            <w:r w:rsidRPr="00A52832">
              <w:rPr>
                <w:rFonts w:ascii="Times New Roman" w:hAnsi="Times New Roman" w:cs="Times New Roman"/>
                <w:sz w:val="28"/>
                <w:szCs w:val="28"/>
                <w:lang w:val="uz-Cyrl-UZ"/>
              </w:rPr>
              <w:t>2024</w:t>
            </w:r>
            <w:r w:rsidR="000425F2">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r w:rsidR="002606EE" w:rsidRPr="00A52832" w14:paraId="18B7D2F6" w14:textId="77777777" w:rsidTr="00AE48DB">
        <w:trPr>
          <w:trHeight w:val="2558"/>
          <w:jc w:val="center"/>
        </w:trPr>
        <w:tc>
          <w:tcPr>
            <w:tcW w:w="708" w:type="dxa"/>
            <w:vAlign w:val="center"/>
          </w:tcPr>
          <w:p w14:paraId="240C1E90"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7.</w:t>
            </w:r>
          </w:p>
        </w:tc>
        <w:tc>
          <w:tcPr>
            <w:tcW w:w="4285" w:type="dxa"/>
            <w:vAlign w:val="center"/>
          </w:tcPr>
          <w:p w14:paraId="7FFD3F51" w14:textId="39D11032" w:rsidR="002606EE" w:rsidRPr="00A52832" w:rsidRDefault="000A47D8"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 xml:space="preserve">Ислом молиявий хизматлар </w:t>
            </w:r>
            <w:r w:rsidR="005005B2">
              <w:rPr>
                <w:rFonts w:ascii="Times New Roman" w:hAnsi="Times New Roman" w:cs="Times New Roman"/>
                <w:sz w:val="28"/>
                <w:szCs w:val="28"/>
                <w:lang w:val="uz-Cyrl-UZ"/>
              </w:rPr>
              <w:t>К</w:t>
            </w:r>
            <w:r w:rsidRPr="00A52832">
              <w:rPr>
                <w:rFonts w:ascii="Times New Roman" w:hAnsi="Times New Roman" w:cs="Times New Roman"/>
                <w:sz w:val="28"/>
                <w:szCs w:val="28"/>
                <w:lang w:val="uz-Cyrl-UZ"/>
              </w:rPr>
              <w:t>енгаши (IFSB)</w:t>
            </w:r>
          </w:p>
        </w:tc>
        <w:tc>
          <w:tcPr>
            <w:tcW w:w="6699" w:type="dxa"/>
            <w:vAlign w:val="center"/>
          </w:tcPr>
          <w:p w14:paraId="267E6CE4" w14:textId="767C0EDF" w:rsidR="00311C31" w:rsidRPr="00A52832" w:rsidRDefault="000A47D8" w:rsidP="00AE48DB">
            <w:pPr>
              <w:jc w:val="both"/>
              <w:rPr>
                <w:rFonts w:ascii="Times New Roman" w:hAnsi="Times New Roman" w:cs="Times New Roman"/>
                <w:sz w:val="28"/>
                <w:szCs w:val="28"/>
                <w:lang w:val="uz-Cyrl-UZ"/>
              </w:rPr>
            </w:pPr>
            <w:r w:rsidRPr="00A52832">
              <w:rPr>
                <w:rFonts w:ascii="Times New Roman" w:hAnsi="Times New Roman" w:cs="Times New Roman"/>
                <w:sz w:val="28"/>
                <w:szCs w:val="28"/>
                <w:lang w:val="uz-Cyrl-UZ"/>
              </w:rPr>
              <w:t xml:space="preserve">Исломий молия институтларини тартибга солиш ва назорат қилиш бўйича халқаро стандартларни ишлаб чиқиш, самарали корпоратив бошқарув механизмлари ва риск-менежмент тизимини жорий этиш, шунингдек, мазкур соҳада кадрлар салоҳиятини ошириш, тадқиқотлар олиб бориш ҳамда ушбу масалаларда Кенгаш аъзоларига </w:t>
            </w:r>
            <w:r w:rsidR="005005B2">
              <w:rPr>
                <w:rFonts w:ascii="Times New Roman" w:hAnsi="Times New Roman" w:cs="Times New Roman"/>
                <w:sz w:val="28"/>
                <w:szCs w:val="28"/>
                <w:lang w:val="uz-Cyrl-UZ"/>
              </w:rPr>
              <w:t xml:space="preserve">техник </w:t>
            </w:r>
            <w:r w:rsidRPr="00A52832">
              <w:rPr>
                <w:rFonts w:ascii="Times New Roman" w:hAnsi="Times New Roman" w:cs="Times New Roman"/>
                <w:sz w:val="28"/>
                <w:szCs w:val="28"/>
                <w:lang w:val="uz-Cyrl-UZ"/>
              </w:rPr>
              <w:t>кўмак</w:t>
            </w:r>
            <w:r w:rsidR="005005B2">
              <w:rPr>
                <w:rFonts w:ascii="Times New Roman" w:hAnsi="Times New Roman" w:cs="Times New Roman"/>
                <w:sz w:val="28"/>
                <w:szCs w:val="28"/>
                <w:lang w:val="uz-Cyrl-UZ"/>
              </w:rPr>
              <w:t xml:space="preserve"> тақдим этади.</w:t>
            </w:r>
          </w:p>
        </w:tc>
        <w:tc>
          <w:tcPr>
            <w:tcW w:w="2995" w:type="dxa"/>
            <w:vAlign w:val="center"/>
          </w:tcPr>
          <w:p w14:paraId="5B243FFE" w14:textId="4AF0305E"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23</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 xml:space="preserve">декабрь </w:t>
            </w:r>
            <w:r w:rsidRPr="00A52832">
              <w:rPr>
                <w:rFonts w:ascii="Times New Roman" w:hAnsi="Times New Roman" w:cs="Times New Roman"/>
                <w:sz w:val="28"/>
                <w:szCs w:val="28"/>
                <w:lang w:val="uz-Cyrl-UZ"/>
              </w:rPr>
              <w:t>2024</w:t>
            </w:r>
            <w:r w:rsidR="00B27796">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r w:rsidR="002606EE" w:rsidRPr="00A52832" w14:paraId="2B96A3CA" w14:textId="77777777" w:rsidTr="00AE48DB">
        <w:trPr>
          <w:trHeight w:val="1755"/>
          <w:jc w:val="center"/>
        </w:trPr>
        <w:tc>
          <w:tcPr>
            <w:tcW w:w="708" w:type="dxa"/>
            <w:vAlign w:val="center"/>
          </w:tcPr>
          <w:p w14:paraId="5F24D91E"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lastRenderedPageBreak/>
              <w:t>8.</w:t>
            </w:r>
          </w:p>
        </w:tc>
        <w:tc>
          <w:tcPr>
            <w:tcW w:w="4285" w:type="dxa"/>
            <w:vAlign w:val="center"/>
          </w:tcPr>
          <w:p w14:paraId="23AA451E" w14:textId="1C12D94D" w:rsidR="002606EE" w:rsidRPr="00A52832" w:rsidRDefault="000A47D8"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Рискларни бошқариш бўйича халқаро ишчи гуруҳ (IORWG)</w:t>
            </w:r>
          </w:p>
        </w:tc>
        <w:tc>
          <w:tcPr>
            <w:tcW w:w="6699" w:type="dxa"/>
            <w:vAlign w:val="center"/>
          </w:tcPr>
          <w:p w14:paraId="1004878F" w14:textId="3D7508FF" w:rsidR="002606EE" w:rsidRPr="00A52832" w:rsidRDefault="000A47D8" w:rsidP="00AE48DB">
            <w:pPr>
              <w:jc w:val="both"/>
              <w:rPr>
                <w:rFonts w:ascii="Times New Roman" w:hAnsi="Times New Roman" w:cs="Times New Roman"/>
                <w:sz w:val="28"/>
                <w:szCs w:val="28"/>
                <w:lang w:val="uz-Cyrl-UZ"/>
              </w:rPr>
            </w:pPr>
            <w:r w:rsidRPr="00A52832">
              <w:rPr>
                <w:rFonts w:ascii="Times New Roman" w:hAnsi="Times New Roman" w:cs="Times New Roman"/>
                <w:sz w:val="28"/>
                <w:szCs w:val="28"/>
                <w:lang w:val="uz-Cyrl-UZ"/>
              </w:rPr>
              <w:t>Марказий банклар учун риск профилини ишлаб чиқиш ҳамда операци</w:t>
            </w:r>
            <w:r w:rsidR="005005B2">
              <w:rPr>
                <w:rFonts w:ascii="Times New Roman" w:hAnsi="Times New Roman" w:cs="Times New Roman"/>
                <w:sz w:val="28"/>
                <w:szCs w:val="28"/>
                <w:lang w:val="uz-Cyrl-UZ"/>
              </w:rPr>
              <w:t>он</w:t>
            </w:r>
            <w:r w:rsidRPr="00A52832">
              <w:rPr>
                <w:rFonts w:ascii="Times New Roman" w:hAnsi="Times New Roman" w:cs="Times New Roman"/>
                <w:sz w:val="28"/>
                <w:szCs w:val="28"/>
                <w:lang w:val="uz-Cyrl-UZ"/>
              </w:rPr>
              <w:t xml:space="preserve"> рискларни бошқариш бўйича илғор амалиётларни </w:t>
            </w:r>
            <w:r w:rsidR="005005B2">
              <w:rPr>
                <w:rFonts w:ascii="Times New Roman" w:hAnsi="Times New Roman" w:cs="Times New Roman"/>
                <w:sz w:val="28"/>
                <w:szCs w:val="28"/>
                <w:lang w:val="uz-Cyrl-UZ"/>
              </w:rPr>
              <w:t xml:space="preserve">тарғиб қилувчи </w:t>
            </w:r>
            <w:r w:rsidRPr="00A52832">
              <w:rPr>
                <w:rFonts w:ascii="Times New Roman" w:hAnsi="Times New Roman" w:cs="Times New Roman"/>
                <w:sz w:val="28"/>
                <w:szCs w:val="28"/>
                <w:lang w:val="uz-Cyrl-UZ"/>
              </w:rPr>
              <w:t>платформаси ҳисобланади.</w:t>
            </w:r>
          </w:p>
        </w:tc>
        <w:tc>
          <w:tcPr>
            <w:tcW w:w="2995" w:type="dxa"/>
            <w:vAlign w:val="center"/>
          </w:tcPr>
          <w:p w14:paraId="18D12C21" w14:textId="1AE8D6A8"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25</w:t>
            </w:r>
            <w:r w:rsidR="002D62E1">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 xml:space="preserve">декабрь </w:t>
            </w:r>
            <w:r w:rsidRPr="00A52832">
              <w:rPr>
                <w:rFonts w:ascii="Times New Roman" w:hAnsi="Times New Roman" w:cs="Times New Roman"/>
                <w:sz w:val="28"/>
                <w:szCs w:val="28"/>
                <w:lang w:val="uz-Cyrl-UZ"/>
              </w:rPr>
              <w:t>2024</w:t>
            </w:r>
            <w:r w:rsidR="00B27796">
              <w:rPr>
                <w:rFonts w:ascii="Times New Roman" w:hAnsi="Times New Roman" w:cs="Times New Roman"/>
                <w:sz w:val="28"/>
                <w:szCs w:val="28"/>
                <w:lang w:val="en-US"/>
              </w:rPr>
              <w:t xml:space="preserve"> </w:t>
            </w:r>
            <w:r w:rsidR="00463580" w:rsidRPr="00A52832">
              <w:rPr>
                <w:rFonts w:ascii="Times New Roman" w:hAnsi="Times New Roman" w:cs="Times New Roman"/>
                <w:sz w:val="28"/>
                <w:szCs w:val="28"/>
                <w:lang w:val="uz-Cyrl-UZ"/>
              </w:rPr>
              <w:t>йил</w:t>
            </w:r>
          </w:p>
        </w:tc>
      </w:tr>
    </w:tbl>
    <w:p w14:paraId="4D163FE5" w14:textId="77777777" w:rsidR="0074483D" w:rsidRPr="00AE48DB" w:rsidRDefault="0074483D" w:rsidP="00AE48DB">
      <w:pPr>
        <w:rPr>
          <w:rFonts w:ascii="Times New Roman" w:hAnsi="Times New Roman" w:cs="Times New Roman"/>
          <w:sz w:val="28"/>
          <w:szCs w:val="28"/>
          <w:lang w:val="en-US"/>
        </w:rPr>
      </w:pPr>
    </w:p>
    <w:sectPr w:rsidR="0074483D" w:rsidRPr="00AE48DB" w:rsidSect="00C46D71">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49"/>
    <w:rsid w:val="00017A03"/>
    <w:rsid w:val="000425F2"/>
    <w:rsid w:val="00074934"/>
    <w:rsid w:val="000A47D8"/>
    <w:rsid w:val="001C2492"/>
    <w:rsid w:val="002176C0"/>
    <w:rsid w:val="002606EE"/>
    <w:rsid w:val="00277A49"/>
    <w:rsid w:val="002D62E1"/>
    <w:rsid w:val="00311C31"/>
    <w:rsid w:val="00344A90"/>
    <w:rsid w:val="0036392B"/>
    <w:rsid w:val="00373CFD"/>
    <w:rsid w:val="003848E4"/>
    <w:rsid w:val="003C5B9A"/>
    <w:rsid w:val="003C7623"/>
    <w:rsid w:val="003D2777"/>
    <w:rsid w:val="00463580"/>
    <w:rsid w:val="005005B2"/>
    <w:rsid w:val="005614F9"/>
    <w:rsid w:val="005D009D"/>
    <w:rsid w:val="006058D6"/>
    <w:rsid w:val="006149F3"/>
    <w:rsid w:val="0064314A"/>
    <w:rsid w:val="006900EC"/>
    <w:rsid w:val="006E5A55"/>
    <w:rsid w:val="00704BEF"/>
    <w:rsid w:val="0074483D"/>
    <w:rsid w:val="00761E7F"/>
    <w:rsid w:val="007A5E1D"/>
    <w:rsid w:val="007B0ACB"/>
    <w:rsid w:val="007B36EA"/>
    <w:rsid w:val="007C7627"/>
    <w:rsid w:val="007F5A8E"/>
    <w:rsid w:val="008354AA"/>
    <w:rsid w:val="008931C5"/>
    <w:rsid w:val="008B0600"/>
    <w:rsid w:val="008C225A"/>
    <w:rsid w:val="008C5713"/>
    <w:rsid w:val="009160AF"/>
    <w:rsid w:val="009A035B"/>
    <w:rsid w:val="00A01E13"/>
    <w:rsid w:val="00A21C35"/>
    <w:rsid w:val="00A35508"/>
    <w:rsid w:val="00A52832"/>
    <w:rsid w:val="00A8681B"/>
    <w:rsid w:val="00AA4249"/>
    <w:rsid w:val="00AE48DB"/>
    <w:rsid w:val="00B27796"/>
    <w:rsid w:val="00B328C3"/>
    <w:rsid w:val="00BC489A"/>
    <w:rsid w:val="00C13E4A"/>
    <w:rsid w:val="00C46D71"/>
    <w:rsid w:val="00C628D6"/>
    <w:rsid w:val="00C81A31"/>
    <w:rsid w:val="00CE29E5"/>
    <w:rsid w:val="00D3058F"/>
    <w:rsid w:val="00DA491F"/>
    <w:rsid w:val="00E06006"/>
    <w:rsid w:val="00EB3797"/>
    <w:rsid w:val="00EF269A"/>
    <w:rsid w:val="00F57484"/>
    <w:rsid w:val="00F60F05"/>
    <w:rsid w:val="00FA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164A"/>
  <w15:chartTrackingRefBased/>
  <w15:docId w15:val="{3C54FC37-1AC5-4010-8B6F-EE405CD9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A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9813">
      <w:bodyDiv w:val="1"/>
      <w:marLeft w:val="0"/>
      <w:marRight w:val="0"/>
      <w:marTop w:val="0"/>
      <w:marBottom w:val="0"/>
      <w:divBdr>
        <w:top w:val="none" w:sz="0" w:space="0" w:color="auto"/>
        <w:left w:val="none" w:sz="0" w:space="0" w:color="auto"/>
        <w:bottom w:val="none" w:sz="0" w:space="0" w:color="auto"/>
        <w:right w:val="none" w:sz="0" w:space="0" w:color="auto"/>
      </w:divBdr>
    </w:div>
    <w:div w:id="497773884">
      <w:bodyDiv w:val="1"/>
      <w:marLeft w:val="0"/>
      <w:marRight w:val="0"/>
      <w:marTop w:val="0"/>
      <w:marBottom w:val="0"/>
      <w:divBdr>
        <w:top w:val="none" w:sz="0" w:space="0" w:color="auto"/>
        <w:left w:val="none" w:sz="0" w:space="0" w:color="auto"/>
        <w:bottom w:val="none" w:sz="0" w:space="0" w:color="auto"/>
        <w:right w:val="none" w:sz="0" w:space="0" w:color="auto"/>
      </w:divBdr>
    </w:div>
    <w:div w:id="799224323">
      <w:bodyDiv w:val="1"/>
      <w:marLeft w:val="0"/>
      <w:marRight w:val="0"/>
      <w:marTop w:val="0"/>
      <w:marBottom w:val="0"/>
      <w:divBdr>
        <w:top w:val="none" w:sz="0" w:space="0" w:color="auto"/>
        <w:left w:val="none" w:sz="0" w:space="0" w:color="auto"/>
        <w:bottom w:val="none" w:sz="0" w:space="0" w:color="auto"/>
        <w:right w:val="none" w:sz="0" w:space="0" w:color="auto"/>
      </w:divBdr>
    </w:div>
    <w:div w:id="1008675446">
      <w:bodyDiv w:val="1"/>
      <w:marLeft w:val="0"/>
      <w:marRight w:val="0"/>
      <w:marTop w:val="0"/>
      <w:marBottom w:val="0"/>
      <w:divBdr>
        <w:top w:val="none" w:sz="0" w:space="0" w:color="auto"/>
        <w:left w:val="none" w:sz="0" w:space="0" w:color="auto"/>
        <w:bottom w:val="none" w:sz="0" w:space="0" w:color="auto"/>
        <w:right w:val="none" w:sz="0" w:space="0" w:color="auto"/>
      </w:divBdr>
    </w:div>
    <w:div w:id="1124537062">
      <w:bodyDiv w:val="1"/>
      <w:marLeft w:val="0"/>
      <w:marRight w:val="0"/>
      <w:marTop w:val="0"/>
      <w:marBottom w:val="0"/>
      <w:divBdr>
        <w:top w:val="none" w:sz="0" w:space="0" w:color="auto"/>
        <w:left w:val="none" w:sz="0" w:space="0" w:color="auto"/>
        <w:bottom w:val="none" w:sz="0" w:space="0" w:color="auto"/>
        <w:right w:val="none" w:sz="0" w:space="0" w:color="auto"/>
      </w:divBdr>
    </w:div>
    <w:div w:id="1303730686">
      <w:bodyDiv w:val="1"/>
      <w:marLeft w:val="0"/>
      <w:marRight w:val="0"/>
      <w:marTop w:val="0"/>
      <w:marBottom w:val="0"/>
      <w:divBdr>
        <w:top w:val="none" w:sz="0" w:space="0" w:color="auto"/>
        <w:left w:val="none" w:sz="0" w:space="0" w:color="auto"/>
        <w:bottom w:val="none" w:sz="0" w:space="0" w:color="auto"/>
        <w:right w:val="none" w:sz="0" w:space="0" w:color="auto"/>
      </w:divBdr>
    </w:div>
    <w:div w:id="1422603214">
      <w:bodyDiv w:val="1"/>
      <w:marLeft w:val="0"/>
      <w:marRight w:val="0"/>
      <w:marTop w:val="0"/>
      <w:marBottom w:val="0"/>
      <w:divBdr>
        <w:top w:val="none" w:sz="0" w:space="0" w:color="auto"/>
        <w:left w:val="none" w:sz="0" w:space="0" w:color="auto"/>
        <w:bottom w:val="none" w:sz="0" w:space="0" w:color="auto"/>
        <w:right w:val="none" w:sz="0" w:space="0" w:color="auto"/>
      </w:divBdr>
    </w:div>
    <w:div w:id="1688675811">
      <w:bodyDiv w:val="1"/>
      <w:marLeft w:val="0"/>
      <w:marRight w:val="0"/>
      <w:marTop w:val="0"/>
      <w:marBottom w:val="0"/>
      <w:divBdr>
        <w:top w:val="none" w:sz="0" w:space="0" w:color="auto"/>
        <w:left w:val="none" w:sz="0" w:space="0" w:color="auto"/>
        <w:bottom w:val="none" w:sz="0" w:space="0" w:color="auto"/>
        <w:right w:val="none" w:sz="0" w:space="0" w:color="auto"/>
      </w:divBdr>
    </w:div>
    <w:div w:id="1868059029">
      <w:bodyDiv w:val="1"/>
      <w:marLeft w:val="0"/>
      <w:marRight w:val="0"/>
      <w:marTop w:val="0"/>
      <w:marBottom w:val="0"/>
      <w:divBdr>
        <w:top w:val="none" w:sz="0" w:space="0" w:color="auto"/>
        <w:left w:val="none" w:sz="0" w:space="0" w:color="auto"/>
        <w:bottom w:val="none" w:sz="0" w:space="0" w:color="auto"/>
        <w:right w:val="none" w:sz="0" w:space="0" w:color="auto"/>
      </w:divBdr>
    </w:div>
    <w:div w:id="1891646784">
      <w:bodyDiv w:val="1"/>
      <w:marLeft w:val="0"/>
      <w:marRight w:val="0"/>
      <w:marTop w:val="0"/>
      <w:marBottom w:val="0"/>
      <w:divBdr>
        <w:top w:val="none" w:sz="0" w:space="0" w:color="auto"/>
        <w:left w:val="none" w:sz="0" w:space="0" w:color="auto"/>
        <w:bottom w:val="none" w:sz="0" w:space="0" w:color="auto"/>
        <w:right w:val="none" w:sz="0" w:space="0" w:color="auto"/>
      </w:divBdr>
    </w:div>
    <w:div w:id="19167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A65E-B6A4-4BEB-B5C6-954302C5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Odilbekova  Shoxsanamoy Xusanboy qizi</dc:creator>
  <cp:keywords/>
  <dc:description/>
  <cp:lastModifiedBy>Odilbekova  Shoxsanamoy Xusanboy qizi</cp:lastModifiedBy>
  <cp:revision>61</cp:revision>
  <dcterms:created xsi:type="dcterms:W3CDTF">2025-09-10T04:37:00Z</dcterms:created>
  <dcterms:modified xsi:type="dcterms:W3CDTF">2025-12-17T09:34:00Z</dcterms:modified>
</cp:coreProperties>
</file>